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6F775" w14:textId="3713E9EA" w:rsidR="00FD1C4A" w:rsidRDefault="00FD1C4A" w:rsidP="00FD1C4A">
      <w:pPr>
        <w:tabs>
          <w:tab w:val="left" w:pos="1985"/>
        </w:tabs>
        <w:spacing w:after="60"/>
        <w:rPr>
          <w:rFonts w:ascii="Arial" w:hAnsi="Arial" w:cs="Arial"/>
          <w:b/>
          <w:bCs/>
          <w:noProof/>
          <w:sz w:val="24"/>
          <w:szCs w:val="26"/>
        </w:rPr>
      </w:pPr>
      <w:bookmarkStart w:id="0" w:name="_Hlk78207062"/>
      <w:r>
        <w:rPr>
          <w:rFonts w:ascii="Arial" w:hAnsi="Arial" w:cs="Arial"/>
          <w:b/>
          <w:bCs/>
          <w:noProof/>
          <w:sz w:val="24"/>
          <w:szCs w:val="26"/>
        </w:rPr>
        <w:t>3GPP TSG RAN WG1 #121                                          R1-250</w:t>
      </w:r>
      <w:r w:rsidR="005850EB">
        <w:rPr>
          <w:rFonts w:ascii="Arial" w:hAnsi="Arial" w:cs="Arial" w:hint="eastAsia"/>
          <w:b/>
          <w:bCs/>
          <w:noProof/>
          <w:sz w:val="24"/>
          <w:szCs w:val="26"/>
        </w:rPr>
        <w:t>4143</w:t>
      </w:r>
    </w:p>
    <w:bookmarkEnd w:id="0"/>
    <w:p w14:paraId="48A0230A" w14:textId="77777777" w:rsidR="00FD1C4A" w:rsidRDefault="00FD1C4A" w:rsidP="00FD1C4A">
      <w:pPr>
        <w:tabs>
          <w:tab w:val="left" w:pos="1985"/>
        </w:tabs>
        <w:spacing w:after="240"/>
        <w:rPr>
          <w:rFonts w:ascii="Arial" w:hAnsi="Arial" w:cs="Arial"/>
          <w:b/>
          <w:bCs/>
          <w:noProof/>
          <w:sz w:val="24"/>
          <w:szCs w:val="26"/>
        </w:rPr>
      </w:pPr>
      <w:r w:rsidRPr="00F03E72">
        <w:rPr>
          <w:rFonts w:ascii="Arial" w:hAnsi="Arial" w:cs="Arial"/>
          <w:b/>
          <w:bCs/>
          <w:noProof/>
          <w:sz w:val="24"/>
          <w:szCs w:val="26"/>
        </w:rPr>
        <w:t>St Julian’s, Malta, May 1</w:t>
      </w:r>
      <w:r>
        <w:rPr>
          <w:rFonts w:ascii="Arial" w:hAnsi="Arial" w:cs="Arial"/>
          <w:b/>
          <w:bCs/>
          <w:noProof/>
          <w:sz w:val="24"/>
          <w:szCs w:val="26"/>
        </w:rPr>
        <w:t>9</w:t>
      </w:r>
      <w:r w:rsidRPr="00F03E72">
        <w:rPr>
          <w:rFonts w:ascii="Arial" w:hAnsi="Arial" w:cs="Arial"/>
          <w:b/>
          <w:bCs/>
          <w:noProof/>
          <w:sz w:val="24"/>
          <w:szCs w:val="26"/>
          <w:vertAlign w:val="superscript"/>
        </w:rPr>
        <w:t>th</w:t>
      </w:r>
      <w:r w:rsidRPr="00F03E72">
        <w:rPr>
          <w:rFonts w:ascii="Arial" w:hAnsi="Arial" w:cs="Arial"/>
          <w:b/>
          <w:bCs/>
          <w:noProof/>
          <w:sz w:val="24"/>
          <w:szCs w:val="26"/>
        </w:rPr>
        <w:t xml:space="preserve"> – </w:t>
      </w:r>
      <w:r>
        <w:rPr>
          <w:rFonts w:ascii="Arial" w:hAnsi="Arial" w:cs="Arial"/>
          <w:b/>
          <w:bCs/>
          <w:noProof/>
          <w:sz w:val="24"/>
          <w:szCs w:val="26"/>
        </w:rPr>
        <w:t>23</w:t>
      </w:r>
      <w:r w:rsidRPr="00F03E72">
        <w:rPr>
          <w:rFonts w:ascii="Arial" w:hAnsi="Arial" w:cs="Arial"/>
          <w:b/>
          <w:bCs/>
          <w:noProof/>
          <w:sz w:val="24"/>
          <w:szCs w:val="26"/>
          <w:vertAlign w:val="superscript"/>
        </w:rPr>
        <w:t>rd</w:t>
      </w:r>
      <w:r w:rsidRPr="00F03E72">
        <w:rPr>
          <w:rFonts w:ascii="Arial" w:hAnsi="Arial" w:cs="Arial"/>
          <w:b/>
          <w:bCs/>
          <w:noProof/>
          <w:sz w:val="24"/>
          <w:szCs w:val="26"/>
        </w:rPr>
        <w:t>, 2025</w:t>
      </w:r>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2E71947F"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B63493">
        <w:rPr>
          <w:rFonts w:ascii="Arial" w:hAnsi="Arial" w:cs="Arial"/>
          <w:b/>
          <w:sz w:val="24"/>
          <w:szCs w:val="26"/>
          <w:lang w:val="en-US"/>
        </w:rPr>
        <w:t>A</w:t>
      </w:r>
      <w:r w:rsidR="00F72159">
        <w:rPr>
          <w:rFonts w:ascii="Arial" w:hAnsi="Arial" w:cs="Arial"/>
          <w:b/>
          <w:sz w:val="24"/>
          <w:szCs w:val="26"/>
          <w:lang w:val="en-US"/>
        </w:rPr>
        <w:t>daptation of common signal/channel transmissions</w:t>
      </w:r>
    </w:p>
    <w:p w14:paraId="2BBA9C0C" w14:textId="38508AC9"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FF511B">
        <w:rPr>
          <w:rFonts w:ascii="Arial" w:hAnsi="Arial" w:cs="Arial"/>
          <w:b/>
          <w:sz w:val="24"/>
          <w:szCs w:val="26"/>
          <w:lang w:val="en-US"/>
        </w:rPr>
        <w:t>3</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F72159">
        <w:rPr>
          <w:rFonts w:ascii="Arial" w:hAnsi="Arial" w:cs="Arial"/>
          <w:b/>
          <w:sz w:val="24"/>
          <w:szCs w:val="26"/>
          <w:lang w:val="en-US"/>
        </w:rPr>
        <w:t>Adaptation of common signal/channel transmissions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52BF37E9" w14:textId="22DCCCF6" w:rsidR="00912705" w:rsidRDefault="0038185F" w:rsidP="00912705">
      <w:bookmarkStart w:id="4" w:name="_Hlk163037690"/>
      <w:r w:rsidRPr="00160DBF">
        <w:t xml:space="preserve">In the last RAN1 meeting, the following agreements were made regarding the </w:t>
      </w:r>
      <w:r>
        <w:rPr>
          <w:rFonts w:hint="eastAsia"/>
        </w:rPr>
        <w:t xml:space="preserve">adaptation of common signal/channel transmissions </w:t>
      </w:r>
      <w:r>
        <w:t xml:space="preserve">under Rel-19 work item “enhancements of network energy savings for NR” </w:t>
      </w:r>
      <w:r w:rsidRPr="00160DBF">
        <w:t>[</w:t>
      </w:r>
      <w:r>
        <w:t>1</w:t>
      </w:r>
      <w:r w:rsidRPr="00160DBF">
        <w:t>]:</w:t>
      </w:r>
      <w:bookmarkEnd w:id="4"/>
    </w:p>
    <w:p w14:paraId="38D8EB71" w14:textId="5A2CF617" w:rsidR="00EA3A77" w:rsidRPr="00EA3A77" w:rsidRDefault="00EA3A77" w:rsidP="00912705">
      <w:pPr>
        <w:rPr>
          <w:b/>
          <w:u w:val="single"/>
        </w:rPr>
      </w:pPr>
      <w:r w:rsidRPr="00EA3A77">
        <w:rPr>
          <w:rFonts w:hint="eastAsia"/>
          <w:b/>
          <w:highlight w:val="cyan"/>
          <w:u w:val="single"/>
        </w:rPr>
        <w:t>S</w:t>
      </w:r>
      <w:r w:rsidRPr="00EA3A77">
        <w:rPr>
          <w:b/>
          <w:highlight w:val="cyan"/>
          <w:u w:val="single"/>
        </w:rPr>
        <w:t>SB adaptation</w:t>
      </w:r>
    </w:p>
    <w:p w14:paraId="534181A0" w14:textId="77777777" w:rsidR="00FD1C4A" w:rsidRPr="00FD1C4A" w:rsidRDefault="00FD1C4A" w:rsidP="00FD1C4A">
      <w:pPr>
        <w:adjustRightInd w:val="0"/>
        <w:snapToGrid w:val="0"/>
        <w:spacing w:after="0"/>
        <w:rPr>
          <w:lang w:val="en-US" w:eastAsia="x-none"/>
        </w:rPr>
      </w:pPr>
      <w:r w:rsidRPr="00FD1C4A">
        <w:rPr>
          <w:b/>
          <w:highlight w:val="green"/>
          <w:lang w:val="en-US"/>
        </w:rPr>
        <w:t>Agreement</w:t>
      </w:r>
    </w:p>
    <w:p w14:paraId="1316BE74" w14:textId="77777777" w:rsidR="00FD1C4A" w:rsidRPr="00FD1C4A" w:rsidRDefault="00FD1C4A" w:rsidP="00FD1C4A">
      <w:pPr>
        <w:adjustRightInd w:val="0"/>
        <w:snapToGrid w:val="0"/>
        <w:spacing w:after="0"/>
      </w:pPr>
      <w:r w:rsidRPr="00FD1C4A">
        <w:t xml:space="preserve">For adaptation of SSB in time-domain, for DCI 2_9-based SSB burst periodicity adaptation for an </w:t>
      </w:r>
      <w:proofErr w:type="spellStart"/>
      <w:r w:rsidRPr="00FD1C4A">
        <w:t>SCell</w:t>
      </w:r>
      <w:proofErr w:type="spellEnd"/>
      <w:r w:rsidRPr="00FD1C4A">
        <w:t xml:space="preserve">, </w:t>
      </w:r>
    </w:p>
    <w:p w14:paraId="6A952E1F" w14:textId="77777777" w:rsidR="00FD1C4A" w:rsidRPr="00FD1C4A" w:rsidRDefault="00FD1C4A" w:rsidP="00FD1C4A">
      <w:pPr>
        <w:widowControl/>
        <w:numPr>
          <w:ilvl w:val="0"/>
          <w:numId w:val="6"/>
        </w:numPr>
        <w:autoSpaceDE/>
        <w:autoSpaceDN/>
        <w:adjustRightInd w:val="0"/>
        <w:snapToGrid w:val="0"/>
        <w:spacing w:after="0"/>
        <w:jc w:val="left"/>
      </w:pPr>
      <w:r w:rsidRPr="00FD1C4A">
        <w:t xml:space="preserve">The DCI is scrambled a new RNTI, </w:t>
      </w:r>
    </w:p>
    <w:p w14:paraId="78174E20" w14:textId="77777777" w:rsidR="00FD1C4A" w:rsidRPr="00FD1C4A" w:rsidRDefault="00FD1C4A" w:rsidP="00FD1C4A">
      <w:pPr>
        <w:widowControl/>
        <w:numPr>
          <w:ilvl w:val="1"/>
          <w:numId w:val="6"/>
        </w:numPr>
        <w:autoSpaceDE/>
        <w:autoSpaceDN/>
        <w:adjustRightInd w:val="0"/>
        <w:snapToGrid w:val="0"/>
        <w:spacing w:after="0"/>
        <w:jc w:val="left"/>
      </w:pPr>
      <w:r w:rsidRPr="00FD1C4A">
        <w:t xml:space="preserve">Same search space and DCI size as that of cell DTX/DRX DCI if </w:t>
      </w:r>
      <w:proofErr w:type="spellStart"/>
      <w:r w:rsidRPr="00FD1C4A">
        <w:t>gNB</w:t>
      </w:r>
      <w:proofErr w:type="spellEnd"/>
      <w:r w:rsidRPr="00FD1C4A">
        <w:t xml:space="preserve"> configures both</w:t>
      </w:r>
    </w:p>
    <w:p w14:paraId="17B30E98" w14:textId="77777777" w:rsidR="00FD1C4A" w:rsidRDefault="00FD1C4A" w:rsidP="00FD1C4A">
      <w:pPr>
        <w:adjustRightInd w:val="0"/>
        <w:snapToGrid w:val="0"/>
        <w:spacing w:after="0"/>
        <w:rPr>
          <w:b/>
          <w:highlight w:val="green"/>
          <w:lang w:val="en-US"/>
        </w:rPr>
      </w:pPr>
    </w:p>
    <w:p w14:paraId="3CEE80D4" w14:textId="62E5747F" w:rsidR="00FD1C4A" w:rsidRPr="00FD1C4A" w:rsidRDefault="00FD1C4A" w:rsidP="00FD1C4A">
      <w:pPr>
        <w:adjustRightInd w:val="0"/>
        <w:snapToGrid w:val="0"/>
        <w:spacing w:after="0"/>
        <w:rPr>
          <w:lang w:val="en-US" w:eastAsia="x-none"/>
        </w:rPr>
      </w:pPr>
      <w:r w:rsidRPr="00FD1C4A">
        <w:rPr>
          <w:b/>
          <w:highlight w:val="green"/>
          <w:lang w:val="en-US"/>
        </w:rPr>
        <w:t>Agreement</w:t>
      </w:r>
    </w:p>
    <w:p w14:paraId="24D10B60" w14:textId="77777777" w:rsidR="00FD1C4A" w:rsidRPr="00FD1C4A" w:rsidRDefault="00FD1C4A" w:rsidP="00FD1C4A">
      <w:pPr>
        <w:adjustRightInd w:val="0"/>
        <w:snapToGrid w:val="0"/>
        <w:spacing w:after="0"/>
      </w:pPr>
      <w:r w:rsidRPr="00FD1C4A">
        <w:t xml:space="preserve">For DCI 2_9-based SSB burst periodicity adaptation for an </w:t>
      </w:r>
      <w:proofErr w:type="spellStart"/>
      <w:r w:rsidRPr="00FD1C4A">
        <w:t>SCell</w:t>
      </w:r>
      <w:proofErr w:type="spellEnd"/>
    </w:p>
    <w:p w14:paraId="02AE2ADC" w14:textId="77777777" w:rsidR="00FD1C4A" w:rsidRPr="00FD1C4A" w:rsidRDefault="00FD1C4A" w:rsidP="00FD1C4A">
      <w:pPr>
        <w:pStyle w:val="a4"/>
        <w:widowControl/>
        <w:numPr>
          <w:ilvl w:val="0"/>
          <w:numId w:val="6"/>
        </w:numPr>
        <w:autoSpaceDE/>
        <w:autoSpaceDN/>
        <w:adjustRightInd w:val="0"/>
        <w:snapToGrid w:val="0"/>
        <w:spacing w:after="0"/>
        <w:ind w:leftChars="0"/>
        <w:jc w:val="left"/>
      </w:pPr>
      <w:r w:rsidRPr="00FD1C4A">
        <w:t xml:space="preserve">the starting location of the information block for SSB burst periodicity indication for a </w:t>
      </w:r>
      <w:proofErr w:type="spellStart"/>
      <w:r w:rsidRPr="00FD1C4A">
        <w:t>SCell</w:t>
      </w:r>
      <w:proofErr w:type="spellEnd"/>
      <w:r w:rsidRPr="00FD1C4A">
        <w:t xml:space="preserve"> within the DCI format 2_9 is configured using a new RRC parameter </w:t>
      </w:r>
    </w:p>
    <w:p w14:paraId="6EAEEA40" w14:textId="77777777" w:rsidR="00FD1C4A" w:rsidRPr="00FD1C4A" w:rsidRDefault="00FD1C4A" w:rsidP="00FD1C4A">
      <w:pPr>
        <w:pStyle w:val="a4"/>
        <w:widowControl/>
        <w:numPr>
          <w:ilvl w:val="0"/>
          <w:numId w:val="6"/>
        </w:numPr>
        <w:autoSpaceDE/>
        <w:autoSpaceDN/>
        <w:adjustRightInd w:val="0"/>
        <w:snapToGrid w:val="0"/>
        <w:spacing w:after="0"/>
        <w:ind w:leftChars="0"/>
        <w:jc w:val="left"/>
      </w:pPr>
      <w:r w:rsidRPr="00FD1C4A">
        <w:t xml:space="preserve">the length of the information block is given by ceil(log2(1+X)), where UE is configured with X additional SSB burst periodicities for the </w:t>
      </w:r>
      <w:proofErr w:type="spellStart"/>
      <w:r w:rsidRPr="00FD1C4A">
        <w:t>SCell</w:t>
      </w:r>
      <w:proofErr w:type="spellEnd"/>
    </w:p>
    <w:p w14:paraId="7DF56196" w14:textId="77777777" w:rsidR="00FD1C4A" w:rsidRDefault="00FD1C4A" w:rsidP="00FD1C4A">
      <w:pPr>
        <w:adjustRightInd w:val="0"/>
        <w:snapToGrid w:val="0"/>
        <w:spacing w:after="0"/>
        <w:rPr>
          <w:b/>
          <w:highlight w:val="green"/>
          <w:lang w:val="en-US"/>
        </w:rPr>
      </w:pPr>
    </w:p>
    <w:p w14:paraId="18BFB942" w14:textId="4B43AA9F" w:rsidR="00FD1C4A" w:rsidRPr="00FD1C4A" w:rsidRDefault="00FD1C4A" w:rsidP="00FD1C4A">
      <w:pPr>
        <w:adjustRightInd w:val="0"/>
        <w:snapToGrid w:val="0"/>
        <w:spacing w:after="0"/>
        <w:rPr>
          <w:lang w:val="en-US" w:eastAsia="x-none"/>
        </w:rPr>
      </w:pPr>
      <w:r w:rsidRPr="00FD1C4A">
        <w:rPr>
          <w:b/>
          <w:highlight w:val="green"/>
          <w:lang w:val="en-US"/>
        </w:rPr>
        <w:t>Agreement</w:t>
      </w:r>
    </w:p>
    <w:p w14:paraId="0E32E016" w14:textId="77777777" w:rsidR="00FD1C4A" w:rsidRPr="00FD1C4A" w:rsidRDefault="00FD1C4A" w:rsidP="00FD1C4A">
      <w:pPr>
        <w:adjustRightInd w:val="0"/>
        <w:snapToGrid w:val="0"/>
        <w:spacing w:after="0"/>
      </w:pPr>
      <w:r w:rsidRPr="00FD1C4A">
        <w:t>For adaptation of SSB in time-domain, UE can be configured with X (&lt;=</w:t>
      </w:r>
      <w:proofErr w:type="spellStart"/>
      <w:r w:rsidRPr="00FD1C4A">
        <w:t>Xmax</w:t>
      </w:r>
      <w:proofErr w:type="spellEnd"/>
      <w:r w:rsidRPr="00FD1C4A">
        <w:t xml:space="preserve">) additional SSB burst periodicities for an </w:t>
      </w:r>
      <w:proofErr w:type="spellStart"/>
      <w:r w:rsidRPr="00FD1C4A">
        <w:t>SCell</w:t>
      </w:r>
      <w:proofErr w:type="spellEnd"/>
      <w:r w:rsidRPr="00FD1C4A">
        <w:t>.</w:t>
      </w:r>
    </w:p>
    <w:p w14:paraId="50CB6DEE" w14:textId="77777777" w:rsidR="00FD1C4A" w:rsidRPr="00FD1C4A" w:rsidRDefault="00FD1C4A" w:rsidP="00FD1C4A">
      <w:pPr>
        <w:pStyle w:val="a4"/>
        <w:widowControl/>
        <w:numPr>
          <w:ilvl w:val="0"/>
          <w:numId w:val="38"/>
        </w:numPr>
        <w:tabs>
          <w:tab w:val="left" w:pos="432"/>
        </w:tabs>
        <w:autoSpaceDE/>
        <w:autoSpaceDN/>
        <w:adjustRightInd w:val="0"/>
        <w:snapToGrid w:val="0"/>
        <w:spacing w:after="0"/>
        <w:ind w:leftChars="0"/>
        <w:jc w:val="left"/>
        <w:rPr>
          <w:lang w:eastAsia="en-US"/>
        </w:rPr>
      </w:pPr>
      <w:proofErr w:type="spellStart"/>
      <w:r w:rsidRPr="00FD1C4A">
        <w:t>Xmax</w:t>
      </w:r>
      <w:proofErr w:type="spellEnd"/>
      <w:r w:rsidRPr="00FD1C4A">
        <w:t>=2</w:t>
      </w:r>
    </w:p>
    <w:p w14:paraId="27648550" w14:textId="77777777" w:rsidR="00FD1C4A" w:rsidRDefault="00FD1C4A" w:rsidP="00FD1C4A">
      <w:pPr>
        <w:adjustRightInd w:val="0"/>
        <w:snapToGrid w:val="0"/>
        <w:spacing w:after="0"/>
        <w:rPr>
          <w:b/>
          <w:bCs/>
          <w:highlight w:val="darkYellow"/>
          <w:lang w:eastAsia="x-none"/>
        </w:rPr>
      </w:pPr>
    </w:p>
    <w:p w14:paraId="5408E5E2" w14:textId="49ADB0CD" w:rsidR="00FD1C4A" w:rsidRPr="00FD1C4A" w:rsidRDefault="00FD1C4A" w:rsidP="00FD1C4A">
      <w:pPr>
        <w:adjustRightInd w:val="0"/>
        <w:snapToGrid w:val="0"/>
        <w:spacing w:after="0"/>
        <w:rPr>
          <w:b/>
          <w:bCs/>
          <w:highlight w:val="darkYellow"/>
          <w:lang w:eastAsia="x-none"/>
        </w:rPr>
      </w:pPr>
      <w:r w:rsidRPr="00FD1C4A">
        <w:rPr>
          <w:b/>
          <w:bCs/>
          <w:highlight w:val="darkYellow"/>
          <w:lang w:eastAsia="x-none"/>
        </w:rPr>
        <w:t>Working Assumption</w:t>
      </w:r>
    </w:p>
    <w:p w14:paraId="7467E80A" w14:textId="77777777" w:rsidR="00FD1C4A" w:rsidRPr="00FD1C4A" w:rsidRDefault="00FD1C4A" w:rsidP="00FD1C4A">
      <w:pPr>
        <w:adjustRightInd w:val="0"/>
        <w:snapToGrid w:val="0"/>
        <w:spacing w:after="0"/>
      </w:pPr>
      <w:r w:rsidRPr="00FD1C4A">
        <w:t xml:space="preserve">When a UE receives in slot </w:t>
      </w:r>
      <m:oMath>
        <m:r>
          <m:rPr>
            <m:sty m:val="p"/>
          </m:rPr>
          <w:rPr>
            <w:rFonts w:ascii="Cambria Math" w:hAnsi="Cambria Math"/>
          </w:rPr>
          <m:t>m</m:t>
        </m:r>
      </m:oMath>
      <w:r w:rsidRPr="00FD1C4A">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m:oMath>
        <m:r>
          <m:rPr>
            <m:sty m:val="p"/>
          </m:rPr>
          <w:rPr>
            <w:rFonts w:ascii="Cambria Math" w:hAnsi="Cambria Math"/>
          </w:rPr>
          <m:t>m+d</m:t>
        </m:r>
      </m:oMath>
      <w:r w:rsidRPr="00FD1C4A">
        <w:t xml:space="preserve"> of the first serving cell where </w:t>
      </w:r>
      <m:oMath>
        <m:r>
          <m:rPr>
            <m:sty m:val="p"/>
          </m:rPr>
          <w:rPr>
            <w:rFonts w:ascii="Cambria Math" w:hAnsi="Cambria Math"/>
          </w:rPr>
          <m:t>d</m:t>
        </m:r>
      </m:oMath>
      <w:r w:rsidRPr="00FD1C4A">
        <w:t xml:space="preserve"> is a number of slots for the SCS of the active DL BWP of the first serving cell [in Table 11.5-1 of TS 38.213].</w:t>
      </w:r>
    </w:p>
    <w:p w14:paraId="513DB8C6" w14:textId="77777777" w:rsidR="00FD1C4A" w:rsidRPr="00FD1C4A" w:rsidRDefault="00FD1C4A" w:rsidP="00FD1C4A">
      <w:pPr>
        <w:pStyle w:val="a4"/>
        <w:widowControl/>
        <w:numPr>
          <w:ilvl w:val="0"/>
          <w:numId w:val="40"/>
        </w:numPr>
        <w:overflowPunct w:val="0"/>
        <w:adjustRightInd w:val="0"/>
        <w:snapToGrid w:val="0"/>
        <w:spacing w:after="0"/>
        <w:ind w:leftChars="0"/>
        <w:textAlignment w:val="baseline"/>
      </w:pPr>
      <w:r w:rsidRPr="00FD1C4A">
        <w:rPr>
          <w:lang w:val="en-US"/>
        </w:rPr>
        <w:t>FFS: how to determine the first [possible] SSB burst</w:t>
      </w:r>
    </w:p>
    <w:p w14:paraId="449FC1A0" w14:textId="77777777" w:rsidR="00EA3A77" w:rsidRDefault="00EA3A77" w:rsidP="00EA3A77">
      <w:pPr>
        <w:overflowPunct w:val="0"/>
        <w:adjustRightInd w:val="0"/>
        <w:snapToGrid w:val="0"/>
        <w:spacing w:after="0"/>
        <w:textAlignment w:val="baseline"/>
      </w:pPr>
    </w:p>
    <w:p w14:paraId="6C6D5FA4" w14:textId="4642ACA3" w:rsidR="00EA3A77" w:rsidRPr="00EA3A77" w:rsidRDefault="00EA3A77" w:rsidP="00EA3A77">
      <w:pPr>
        <w:overflowPunct w:val="0"/>
        <w:adjustRightInd w:val="0"/>
        <w:snapToGrid w:val="0"/>
        <w:textAlignment w:val="baseline"/>
        <w:rPr>
          <w:b/>
          <w:u w:val="single"/>
        </w:rPr>
      </w:pPr>
      <w:r w:rsidRPr="00EA3A77">
        <w:rPr>
          <w:rFonts w:hint="eastAsia"/>
          <w:b/>
          <w:highlight w:val="cyan"/>
          <w:u w:val="single"/>
        </w:rPr>
        <w:t>P</w:t>
      </w:r>
      <w:r w:rsidRPr="00EA3A77">
        <w:rPr>
          <w:b/>
          <w:highlight w:val="cyan"/>
          <w:u w:val="single"/>
        </w:rPr>
        <w:t>RACH adaptation</w:t>
      </w:r>
    </w:p>
    <w:p w14:paraId="1A65E265" w14:textId="77777777" w:rsidR="00FD1C4A" w:rsidRPr="00FD1C4A" w:rsidRDefault="00FD1C4A" w:rsidP="00FD1C4A">
      <w:pPr>
        <w:adjustRightInd w:val="0"/>
        <w:snapToGrid w:val="0"/>
        <w:spacing w:after="0"/>
        <w:rPr>
          <w:b/>
          <w:bCs/>
          <w:lang w:eastAsia="x-none"/>
        </w:rPr>
      </w:pPr>
      <w:r w:rsidRPr="00FD1C4A">
        <w:rPr>
          <w:b/>
          <w:bCs/>
          <w:highlight w:val="green"/>
          <w:lang w:eastAsia="x-none"/>
        </w:rPr>
        <w:t>Agreement</w:t>
      </w:r>
    </w:p>
    <w:p w14:paraId="51AAEB25" w14:textId="77777777" w:rsidR="00FD1C4A" w:rsidRPr="00FD1C4A" w:rsidRDefault="00FD1C4A" w:rsidP="00FD1C4A">
      <w:pPr>
        <w:adjustRightInd w:val="0"/>
        <w:snapToGrid w:val="0"/>
        <w:spacing w:after="0"/>
      </w:pPr>
      <w:r w:rsidRPr="00FD1C4A">
        <w:t xml:space="preserve">For adaptation of PRACH in time-domain, at least for 4-step RACH, at least for DCI 1_0 with P-RNTI, </w:t>
      </w:r>
    </w:p>
    <w:p w14:paraId="250BDBF6" w14:textId="77777777" w:rsidR="00FD1C4A" w:rsidRPr="00FD1C4A" w:rsidRDefault="00FD1C4A" w:rsidP="00FD1C4A">
      <w:pPr>
        <w:pStyle w:val="a4"/>
        <w:widowControl/>
        <w:numPr>
          <w:ilvl w:val="0"/>
          <w:numId w:val="37"/>
        </w:numPr>
        <w:autoSpaceDE/>
        <w:autoSpaceDN/>
        <w:adjustRightInd w:val="0"/>
        <w:snapToGrid w:val="0"/>
        <w:spacing w:after="0"/>
        <w:ind w:leftChars="0"/>
        <w:rPr>
          <w:lang w:eastAsia="en-US"/>
        </w:rPr>
      </w:pPr>
      <w:r w:rsidRPr="00FD1C4A">
        <w:rPr>
          <w:lang w:eastAsia="en-US"/>
        </w:rPr>
        <w:t>Support configuration of the additional PRACH resources within [the same] RACH-</w:t>
      </w:r>
      <w:proofErr w:type="spellStart"/>
      <w:r w:rsidRPr="00FD1C4A">
        <w:rPr>
          <w:lang w:eastAsia="en-US"/>
        </w:rPr>
        <w:t>ConfigCommon</w:t>
      </w:r>
      <w:proofErr w:type="spellEnd"/>
      <w:r w:rsidRPr="00FD1C4A">
        <w:rPr>
          <w:lang w:eastAsia="en-US"/>
        </w:rPr>
        <w:t xml:space="preserve"> in SIB1 used to configure the legacy PRACH resources </w:t>
      </w:r>
    </w:p>
    <w:p w14:paraId="530226F6" w14:textId="77777777" w:rsidR="00FD1C4A" w:rsidRPr="00FD1C4A" w:rsidRDefault="00FD1C4A" w:rsidP="00FD1C4A">
      <w:pPr>
        <w:pStyle w:val="a4"/>
        <w:widowControl/>
        <w:numPr>
          <w:ilvl w:val="1"/>
          <w:numId w:val="37"/>
        </w:numPr>
        <w:overflowPunct w:val="0"/>
        <w:adjustRightInd w:val="0"/>
        <w:snapToGrid w:val="0"/>
        <w:spacing w:after="0"/>
        <w:ind w:leftChars="0"/>
        <w:textAlignment w:val="baseline"/>
        <w:rPr>
          <w:lang w:eastAsia="en-US"/>
        </w:rPr>
      </w:pPr>
      <w:r w:rsidRPr="00FD1C4A">
        <w:rPr>
          <w:lang w:eastAsia="en-US"/>
        </w:rPr>
        <w:t>the legacy PRACH resources used for ‘additional RO validation before the SSB-RO mapping’ are configured in the RACH-</w:t>
      </w:r>
      <w:proofErr w:type="spellStart"/>
      <w:r w:rsidRPr="00FD1C4A">
        <w:rPr>
          <w:lang w:eastAsia="en-US"/>
        </w:rPr>
        <w:t>ConfigCommon</w:t>
      </w:r>
      <w:proofErr w:type="spellEnd"/>
    </w:p>
    <w:p w14:paraId="149D86DC" w14:textId="77777777" w:rsidR="00FD1C4A" w:rsidRPr="00FD1C4A" w:rsidRDefault="00FD1C4A" w:rsidP="00FD1C4A">
      <w:pPr>
        <w:adjustRightInd w:val="0"/>
        <w:snapToGrid w:val="0"/>
        <w:spacing w:after="0"/>
        <w:rPr>
          <w:b/>
          <w:bCs/>
          <w:lang w:eastAsia="x-none"/>
        </w:rPr>
      </w:pPr>
      <w:r w:rsidRPr="00FD1C4A">
        <w:rPr>
          <w:b/>
          <w:bCs/>
          <w:highlight w:val="green"/>
          <w:lang w:eastAsia="x-none"/>
        </w:rPr>
        <w:t>Agreement</w:t>
      </w:r>
    </w:p>
    <w:p w14:paraId="7A4B5114" w14:textId="77777777" w:rsidR="00FD1C4A" w:rsidRPr="00FD1C4A" w:rsidRDefault="00FD1C4A" w:rsidP="00FD1C4A">
      <w:pPr>
        <w:pStyle w:val="aa"/>
        <w:adjustRightInd w:val="0"/>
        <w:snapToGrid w:val="0"/>
        <w:spacing w:after="0"/>
        <w:rPr>
          <w:szCs w:val="22"/>
        </w:rPr>
      </w:pPr>
      <w:r w:rsidRPr="00FD1C4A">
        <w:rPr>
          <w:szCs w:val="22"/>
        </w:rPr>
        <w:lastRenderedPageBreak/>
        <w:t xml:space="preserve">For DCI-based adaptation for additional PRACH resources, the following 1-bit field is used for adaptation indication in DCI format 1_0 with P-RNTI </w:t>
      </w:r>
    </w:p>
    <w:p w14:paraId="36725E15" w14:textId="77777777" w:rsidR="00FD1C4A" w:rsidRPr="00FD1C4A" w:rsidRDefault="00FD1C4A" w:rsidP="00FD1C4A">
      <w:pPr>
        <w:pStyle w:val="aa"/>
        <w:numPr>
          <w:ilvl w:val="0"/>
          <w:numId w:val="6"/>
        </w:numPr>
        <w:overflowPunct w:val="0"/>
        <w:autoSpaceDE w:val="0"/>
        <w:autoSpaceDN w:val="0"/>
        <w:adjustRightInd w:val="0"/>
        <w:snapToGrid w:val="0"/>
        <w:spacing w:after="0"/>
        <w:jc w:val="both"/>
        <w:textAlignment w:val="baseline"/>
        <w:rPr>
          <w:szCs w:val="22"/>
        </w:rPr>
      </w:pPr>
      <w:r w:rsidRPr="00FD1C4A">
        <w:rPr>
          <w:szCs w:val="22"/>
        </w:rPr>
        <w:t>Use one bit from the Bits 5-8 within the Short Message field (from upper layers)</w:t>
      </w:r>
    </w:p>
    <w:p w14:paraId="5C90222B" w14:textId="77777777" w:rsidR="00FD1C4A" w:rsidRPr="00FD1C4A" w:rsidRDefault="00FD1C4A" w:rsidP="00FD1C4A">
      <w:pPr>
        <w:pStyle w:val="aa"/>
        <w:numPr>
          <w:ilvl w:val="0"/>
          <w:numId w:val="6"/>
        </w:numPr>
        <w:overflowPunct w:val="0"/>
        <w:autoSpaceDE w:val="0"/>
        <w:autoSpaceDN w:val="0"/>
        <w:adjustRightInd w:val="0"/>
        <w:snapToGrid w:val="0"/>
        <w:spacing w:after="0"/>
        <w:jc w:val="both"/>
        <w:textAlignment w:val="baseline"/>
        <w:rPr>
          <w:szCs w:val="22"/>
        </w:rPr>
      </w:pPr>
      <w:r w:rsidRPr="00FD1C4A">
        <w:rPr>
          <w:szCs w:val="22"/>
        </w:rPr>
        <w:t>Send LS to RAN2 to confirm the use of this bit.</w:t>
      </w:r>
    </w:p>
    <w:p w14:paraId="207BC3F5" w14:textId="77777777" w:rsidR="00FD1C4A" w:rsidRPr="00FD1C4A" w:rsidRDefault="00FD1C4A" w:rsidP="00FD1C4A">
      <w:pPr>
        <w:pStyle w:val="aa"/>
        <w:overflowPunct w:val="0"/>
        <w:autoSpaceDE w:val="0"/>
        <w:autoSpaceDN w:val="0"/>
        <w:adjustRightInd w:val="0"/>
        <w:snapToGrid w:val="0"/>
        <w:spacing w:after="0"/>
        <w:textAlignment w:val="baseline"/>
        <w:rPr>
          <w:szCs w:val="22"/>
        </w:rPr>
      </w:pPr>
      <w:r w:rsidRPr="00FD1C4A">
        <w:rPr>
          <w:szCs w:val="22"/>
        </w:rPr>
        <w:t>Above applies for cell that transmits the DCI for connected UEs and IDLE/INACTIVE mode UEs</w:t>
      </w:r>
    </w:p>
    <w:p w14:paraId="47195CE7" w14:textId="77777777" w:rsidR="00FD1C4A" w:rsidRPr="00FD1C4A" w:rsidRDefault="00FD1C4A" w:rsidP="00FD1C4A">
      <w:pPr>
        <w:adjustRightInd w:val="0"/>
        <w:snapToGrid w:val="0"/>
        <w:spacing w:after="0"/>
        <w:rPr>
          <w:lang w:eastAsia="x-none"/>
        </w:rPr>
      </w:pPr>
    </w:p>
    <w:p w14:paraId="330DEE06" w14:textId="77777777" w:rsidR="00FD1C4A" w:rsidRPr="00FD1C4A" w:rsidRDefault="00FD1C4A" w:rsidP="00FD1C4A">
      <w:pPr>
        <w:adjustRightInd w:val="0"/>
        <w:snapToGrid w:val="0"/>
        <w:spacing w:after="0"/>
        <w:rPr>
          <w:b/>
          <w:bCs/>
          <w:lang w:eastAsia="x-none"/>
        </w:rPr>
      </w:pPr>
      <w:r w:rsidRPr="00FD1C4A">
        <w:rPr>
          <w:b/>
          <w:bCs/>
          <w:highlight w:val="green"/>
          <w:lang w:eastAsia="x-none"/>
        </w:rPr>
        <w:t>Agreement</w:t>
      </w:r>
    </w:p>
    <w:p w14:paraId="3871296E" w14:textId="77777777" w:rsidR="00FD1C4A" w:rsidRPr="00FD1C4A" w:rsidRDefault="00FD1C4A" w:rsidP="00FD1C4A">
      <w:pPr>
        <w:pStyle w:val="aa"/>
        <w:adjustRightInd w:val="0"/>
        <w:snapToGrid w:val="0"/>
        <w:spacing w:after="0"/>
        <w:rPr>
          <w:szCs w:val="22"/>
        </w:rPr>
      </w:pPr>
      <w:r w:rsidRPr="00FD1C4A">
        <w:rPr>
          <w:szCs w:val="22"/>
        </w:rPr>
        <w:t xml:space="preserve">For DCI-based adaptation for additional PRACH resources, for the availability information of additional PRACH resources indicated by DCI 1_0 with P-RNTI </w:t>
      </w:r>
    </w:p>
    <w:p w14:paraId="684F4536" w14:textId="77777777" w:rsidR="00FD1C4A" w:rsidRPr="00FD1C4A" w:rsidRDefault="00FD1C4A" w:rsidP="00FD1C4A">
      <w:pPr>
        <w:pStyle w:val="aa"/>
        <w:numPr>
          <w:ilvl w:val="0"/>
          <w:numId w:val="6"/>
        </w:numPr>
        <w:overflowPunct w:val="0"/>
        <w:autoSpaceDE w:val="0"/>
        <w:autoSpaceDN w:val="0"/>
        <w:adjustRightInd w:val="0"/>
        <w:snapToGrid w:val="0"/>
        <w:spacing w:after="0"/>
        <w:jc w:val="both"/>
        <w:textAlignment w:val="baseline"/>
        <w:rPr>
          <w:szCs w:val="22"/>
        </w:rPr>
      </w:pPr>
      <w:r w:rsidRPr="00FD1C4A">
        <w:rPr>
          <w:szCs w:val="22"/>
        </w:rPr>
        <w:t>the validity duration is configured via higher layer signalling.</w:t>
      </w:r>
    </w:p>
    <w:p w14:paraId="441F2A2B" w14:textId="77777777" w:rsidR="00FD1C4A" w:rsidRPr="00FD1C4A" w:rsidRDefault="00FD1C4A" w:rsidP="00FD1C4A">
      <w:pPr>
        <w:adjustRightInd w:val="0"/>
        <w:snapToGrid w:val="0"/>
        <w:spacing w:after="0"/>
        <w:rPr>
          <w:lang w:eastAsia="x-none"/>
        </w:rPr>
      </w:pPr>
    </w:p>
    <w:p w14:paraId="7AA18FA1" w14:textId="77777777" w:rsidR="00FD1C4A" w:rsidRPr="00FD1C4A" w:rsidRDefault="00FD1C4A" w:rsidP="00FD1C4A">
      <w:pPr>
        <w:adjustRightInd w:val="0"/>
        <w:snapToGrid w:val="0"/>
        <w:spacing w:after="0"/>
        <w:rPr>
          <w:b/>
          <w:bCs/>
          <w:lang w:eastAsia="x-none"/>
        </w:rPr>
      </w:pPr>
      <w:r w:rsidRPr="00FD1C4A">
        <w:rPr>
          <w:b/>
          <w:bCs/>
          <w:highlight w:val="green"/>
          <w:lang w:eastAsia="x-none"/>
        </w:rPr>
        <w:t>Agreement</w:t>
      </w:r>
    </w:p>
    <w:p w14:paraId="231015CA" w14:textId="77777777" w:rsidR="00FD1C4A" w:rsidRPr="00FD1C4A" w:rsidRDefault="00FD1C4A" w:rsidP="00FD1C4A">
      <w:pPr>
        <w:adjustRightInd w:val="0"/>
        <w:snapToGrid w:val="0"/>
        <w:spacing w:after="0"/>
        <w:rPr>
          <w:color w:val="000000"/>
        </w:rPr>
      </w:pPr>
      <w:r w:rsidRPr="00FD1C4A">
        <w:rPr>
          <w:color w:val="000000"/>
        </w:rPr>
        <w:t>For DCI-based adaptation for additional PRACH resources, PRACH mask that identifies the subset of the additional PRACH resources is applicable at unit of</w:t>
      </w:r>
    </w:p>
    <w:p w14:paraId="3B20BB6D" w14:textId="77777777" w:rsidR="00FD1C4A" w:rsidRPr="00FD1C4A" w:rsidRDefault="00FD1C4A" w:rsidP="00FD1C4A">
      <w:pPr>
        <w:pStyle w:val="a4"/>
        <w:widowControl/>
        <w:numPr>
          <w:ilvl w:val="0"/>
          <w:numId w:val="6"/>
        </w:numPr>
        <w:autoSpaceDE/>
        <w:autoSpaceDN/>
        <w:adjustRightInd w:val="0"/>
        <w:snapToGrid w:val="0"/>
        <w:spacing w:after="0"/>
        <w:ind w:leftChars="0"/>
        <w:jc w:val="left"/>
        <w:rPr>
          <w:color w:val="000000"/>
        </w:rPr>
      </w:pPr>
      <w:r w:rsidRPr="00FD1C4A">
        <w:rPr>
          <w:color w:val="000000"/>
        </w:rPr>
        <w:t xml:space="preserve">PRACH association period </w:t>
      </w:r>
    </w:p>
    <w:p w14:paraId="71C324A7" w14:textId="77777777" w:rsidR="00FD1C4A" w:rsidRPr="00FD1C4A" w:rsidRDefault="00FD1C4A" w:rsidP="00FD1C4A">
      <w:pPr>
        <w:pStyle w:val="a4"/>
        <w:widowControl/>
        <w:numPr>
          <w:ilvl w:val="0"/>
          <w:numId w:val="6"/>
        </w:numPr>
        <w:autoSpaceDE/>
        <w:autoSpaceDN/>
        <w:adjustRightInd w:val="0"/>
        <w:snapToGrid w:val="0"/>
        <w:spacing w:after="0"/>
        <w:ind w:leftChars="0"/>
        <w:jc w:val="left"/>
        <w:rPr>
          <w:color w:val="000000"/>
        </w:rPr>
      </w:pPr>
      <w:r w:rsidRPr="00FD1C4A">
        <w:rPr>
          <w:color w:val="000000"/>
        </w:rPr>
        <w:t xml:space="preserve">This PRACH mask applies to every [configured] </w:t>
      </w:r>
      <w:r w:rsidRPr="00FD1C4A">
        <w:rPr>
          <w:i/>
          <w:iCs/>
          <w:color w:val="000000"/>
        </w:rPr>
        <w:t>K</w:t>
      </w:r>
      <w:r w:rsidRPr="00FD1C4A">
        <w:rPr>
          <w:color w:val="000000"/>
        </w:rPr>
        <w:t xml:space="preserve"> SSB RO association pattern period(s)</w:t>
      </w:r>
    </w:p>
    <w:p w14:paraId="666215A0" w14:textId="77777777" w:rsidR="00FD1C4A" w:rsidRPr="00FD1C4A" w:rsidRDefault="00FD1C4A" w:rsidP="00FD1C4A">
      <w:pPr>
        <w:adjustRightInd w:val="0"/>
        <w:snapToGrid w:val="0"/>
        <w:spacing w:after="0"/>
        <w:rPr>
          <w:lang w:val="it-IT" w:eastAsia="x-none"/>
        </w:rPr>
      </w:pPr>
    </w:p>
    <w:p w14:paraId="5BE477CF" w14:textId="77777777" w:rsidR="00FD1C4A" w:rsidRPr="00FD1C4A" w:rsidRDefault="00FD1C4A" w:rsidP="00FD1C4A">
      <w:pPr>
        <w:adjustRightInd w:val="0"/>
        <w:snapToGrid w:val="0"/>
        <w:spacing w:after="0"/>
        <w:rPr>
          <w:lang w:val="en-US" w:eastAsia="x-none"/>
        </w:rPr>
      </w:pPr>
      <w:r w:rsidRPr="00FD1C4A">
        <w:rPr>
          <w:b/>
          <w:highlight w:val="green"/>
          <w:lang w:val="en-US"/>
        </w:rPr>
        <w:t>Agreement</w:t>
      </w:r>
    </w:p>
    <w:p w14:paraId="66D5347C" w14:textId="77777777" w:rsidR="00FD1C4A" w:rsidRPr="00FD1C4A" w:rsidRDefault="00FD1C4A" w:rsidP="00FD1C4A">
      <w:pPr>
        <w:adjustRightInd w:val="0"/>
        <w:snapToGrid w:val="0"/>
        <w:spacing w:after="0"/>
      </w:pPr>
      <w:r w:rsidRPr="00FD1C4A">
        <w:t>Separate configuration of the following parameters for the additional PRACH resources at least for 4-step RACH is supported</w:t>
      </w:r>
    </w:p>
    <w:p w14:paraId="1C4B75A8" w14:textId="77777777" w:rsidR="00FD1C4A" w:rsidRPr="00FD1C4A" w:rsidRDefault="00FD1C4A" w:rsidP="00FD1C4A">
      <w:pPr>
        <w:pStyle w:val="a4"/>
        <w:widowControl/>
        <w:numPr>
          <w:ilvl w:val="0"/>
          <w:numId w:val="6"/>
        </w:numPr>
        <w:overflowPunct w:val="0"/>
        <w:adjustRightInd w:val="0"/>
        <w:snapToGrid w:val="0"/>
        <w:spacing w:after="0"/>
        <w:ind w:leftChars="0"/>
        <w:textAlignment w:val="baseline"/>
      </w:pPr>
      <w:r w:rsidRPr="00FD1C4A">
        <w:t>CB-</w:t>
      </w:r>
      <w:proofErr w:type="spellStart"/>
      <w:r w:rsidRPr="00FD1C4A">
        <w:t>PreamblesPerSSB</w:t>
      </w:r>
      <w:proofErr w:type="spellEnd"/>
    </w:p>
    <w:p w14:paraId="15ED6422" w14:textId="77777777" w:rsidR="00FD1C4A" w:rsidRPr="00FD1C4A" w:rsidRDefault="00FD1C4A" w:rsidP="00FD1C4A">
      <w:pPr>
        <w:adjustRightInd w:val="0"/>
        <w:snapToGrid w:val="0"/>
        <w:spacing w:after="0"/>
        <w:rPr>
          <w:lang w:val="it-IT" w:eastAsia="x-none"/>
        </w:rPr>
      </w:pPr>
    </w:p>
    <w:p w14:paraId="4F27255F" w14:textId="77777777" w:rsidR="00FD1C4A" w:rsidRPr="00FD1C4A" w:rsidRDefault="00FD1C4A" w:rsidP="00FD1C4A">
      <w:pPr>
        <w:adjustRightInd w:val="0"/>
        <w:snapToGrid w:val="0"/>
        <w:spacing w:after="0"/>
        <w:rPr>
          <w:lang w:val="en-US" w:eastAsia="x-none"/>
        </w:rPr>
      </w:pPr>
      <w:r w:rsidRPr="00FD1C4A">
        <w:rPr>
          <w:b/>
          <w:highlight w:val="green"/>
          <w:lang w:val="en-US"/>
        </w:rPr>
        <w:t>Agreement</w:t>
      </w:r>
    </w:p>
    <w:p w14:paraId="2BD1901E" w14:textId="77777777" w:rsidR="00FD1C4A" w:rsidRPr="00FD1C4A" w:rsidRDefault="00FD1C4A" w:rsidP="00FD1C4A">
      <w:pPr>
        <w:adjustRightInd w:val="0"/>
        <w:snapToGrid w:val="0"/>
        <w:spacing w:after="0"/>
        <w:rPr>
          <w:lang w:val="en-US" w:eastAsia="x-none"/>
        </w:rPr>
      </w:pPr>
      <w:r w:rsidRPr="00FD1C4A">
        <w:rPr>
          <w:lang w:val="en-US" w:eastAsia="x-none"/>
        </w:rPr>
        <w:t>LS on DCI-based PRACH adaptation endorsed with the ACTION part modified compared to draft LS in R1-2503085 as follows:</w:t>
      </w:r>
    </w:p>
    <w:p w14:paraId="2192AA3D" w14:textId="77777777" w:rsidR="00FD1C4A" w:rsidRPr="00FD1C4A" w:rsidRDefault="00FD1C4A" w:rsidP="00FD1C4A">
      <w:pPr>
        <w:pStyle w:val="a4"/>
        <w:widowControl/>
        <w:numPr>
          <w:ilvl w:val="0"/>
          <w:numId w:val="6"/>
        </w:numPr>
        <w:autoSpaceDE/>
        <w:autoSpaceDN/>
        <w:adjustRightInd w:val="0"/>
        <w:snapToGrid w:val="0"/>
        <w:spacing w:after="0"/>
        <w:ind w:leftChars="0"/>
        <w:jc w:val="left"/>
        <w:rPr>
          <w:i/>
          <w:iCs/>
          <w:lang w:val="en-US"/>
        </w:rPr>
      </w:pPr>
      <w:r w:rsidRPr="00FD1C4A">
        <w:rPr>
          <w:b/>
          <w:i/>
          <w:iCs/>
          <w:lang w:val="en-US"/>
        </w:rPr>
        <w:t xml:space="preserve">ACTION: </w:t>
      </w:r>
      <w:r w:rsidRPr="00FD1C4A">
        <w:rPr>
          <w:i/>
          <w:iCs/>
          <w:lang w:val="en-US"/>
        </w:rPr>
        <w:t>RAN1 respectfully asks RAN2 to confirm whether the use of above bit is feasible.</w:t>
      </w:r>
    </w:p>
    <w:p w14:paraId="1299A9C0" w14:textId="77777777" w:rsidR="00FD1C4A" w:rsidRPr="00FD1C4A" w:rsidRDefault="00FD1C4A" w:rsidP="00FD1C4A">
      <w:pPr>
        <w:adjustRightInd w:val="0"/>
        <w:snapToGrid w:val="0"/>
        <w:spacing w:after="0"/>
        <w:rPr>
          <w:lang w:val="en-US" w:eastAsia="x-none"/>
        </w:rPr>
      </w:pPr>
      <w:r w:rsidRPr="00FD1C4A">
        <w:rPr>
          <w:highlight w:val="green"/>
          <w:lang w:val="en-US" w:eastAsia="x-none"/>
        </w:rPr>
        <w:t>Final LS in R1-2503086.</w:t>
      </w:r>
    </w:p>
    <w:p w14:paraId="2C11D815" w14:textId="77777777" w:rsidR="00FD1C4A" w:rsidRPr="00FD1C4A" w:rsidRDefault="00FD1C4A" w:rsidP="00FD1C4A">
      <w:pPr>
        <w:adjustRightInd w:val="0"/>
        <w:snapToGrid w:val="0"/>
        <w:spacing w:after="0"/>
        <w:rPr>
          <w:lang w:val="it-IT" w:eastAsia="x-none"/>
        </w:rPr>
      </w:pPr>
    </w:p>
    <w:p w14:paraId="439B7359" w14:textId="77777777" w:rsidR="00FD1C4A" w:rsidRPr="00FD1C4A" w:rsidRDefault="00FD1C4A" w:rsidP="00FD1C4A">
      <w:pPr>
        <w:adjustRightInd w:val="0"/>
        <w:snapToGrid w:val="0"/>
        <w:spacing w:after="0"/>
        <w:rPr>
          <w:lang w:val="en-US" w:eastAsia="x-none"/>
        </w:rPr>
      </w:pPr>
      <w:r w:rsidRPr="00FD1C4A">
        <w:rPr>
          <w:b/>
          <w:highlight w:val="green"/>
          <w:lang w:val="en-US"/>
        </w:rPr>
        <w:t>Agreement</w:t>
      </w:r>
    </w:p>
    <w:p w14:paraId="3DA4EF61" w14:textId="77777777" w:rsidR="00FD1C4A" w:rsidRPr="00FD1C4A" w:rsidRDefault="00FD1C4A" w:rsidP="00FD1C4A">
      <w:pPr>
        <w:adjustRightInd w:val="0"/>
        <w:snapToGrid w:val="0"/>
        <w:spacing w:after="0"/>
      </w:pPr>
      <w:r w:rsidRPr="00FD1C4A">
        <w:t xml:space="preserve">For adaptation of PRACH in time-domain, for a connected mode UE, </w:t>
      </w:r>
    </w:p>
    <w:p w14:paraId="7B80321A" w14:textId="77777777" w:rsidR="00FD1C4A" w:rsidRPr="00FD1C4A" w:rsidRDefault="00FD1C4A" w:rsidP="00FD1C4A">
      <w:pPr>
        <w:pStyle w:val="a4"/>
        <w:widowControl/>
        <w:numPr>
          <w:ilvl w:val="0"/>
          <w:numId w:val="39"/>
        </w:numPr>
        <w:autoSpaceDE/>
        <w:autoSpaceDN/>
        <w:adjustRightInd w:val="0"/>
        <w:snapToGrid w:val="0"/>
        <w:spacing w:after="0"/>
        <w:ind w:leftChars="0"/>
        <w:jc w:val="left"/>
        <w:rPr>
          <w:lang w:eastAsia="en-US"/>
        </w:rPr>
      </w:pPr>
      <w:r w:rsidRPr="00FD1C4A">
        <w:rPr>
          <w:lang w:eastAsia="en-US"/>
        </w:rPr>
        <w:t xml:space="preserve">One of the reserved bits of PDCCH order </w:t>
      </w:r>
      <w:bookmarkStart w:id="5" w:name="_Hlk194857485"/>
      <w:r w:rsidRPr="00FD1C4A">
        <w:rPr>
          <w:lang w:eastAsia="en-US"/>
        </w:rPr>
        <w:t xml:space="preserve">(DCI 1_0 with C-RNTI) </w:t>
      </w:r>
      <w:bookmarkEnd w:id="5"/>
      <w:r w:rsidRPr="00FD1C4A">
        <w:rPr>
          <w:lang w:eastAsia="en-US"/>
        </w:rPr>
        <w:t>is used for the new DCI field that indicates the availability of additional PRACH resources.</w:t>
      </w:r>
    </w:p>
    <w:p w14:paraId="000F15CC" w14:textId="77777777" w:rsidR="00FD1C4A" w:rsidRPr="00FD1C4A" w:rsidRDefault="00FD1C4A" w:rsidP="00FD1C4A">
      <w:pPr>
        <w:overflowPunct w:val="0"/>
        <w:adjustRightInd w:val="0"/>
        <w:snapToGrid w:val="0"/>
        <w:spacing w:after="0"/>
        <w:textAlignment w:val="baseline"/>
      </w:pPr>
    </w:p>
    <w:p w14:paraId="5DC3DA72" w14:textId="77777777" w:rsidR="00FD1C4A" w:rsidRPr="00FD1C4A" w:rsidRDefault="00FD1C4A" w:rsidP="00FD1C4A">
      <w:pPr>
        <w:adjustRightInd w:val="0"/>
        <w:snapToGrid w:val="0"/>
        <w:spacing w:after="0"/>
        <w:rPr>
          <w:b/>
          <w:bCs/>
          <w:highlight w:val="green"/>
          <w:lang w:eastAsia="x-none"/>
        </w:rPr>
      </w:pPr>
      <w:r w:rsidRPr="00FD1C4A">
        <w:rPr>
          <w:b/>
          <w:bCs/>
          <w:highlight w:val="green"/>
          <w:lang w:eastAsia="x-none"/>
        </w:rPr>
        <w:t>Agreement</w:t>
      </w:r>
    </w:p>
    <w:p w14:paraId="3DA02F1E" w14:textId="77777777" w:rsidR="00FD1C4A" w:rsidRPr="00FD1C4A" w:rsidRDefault="00FD1C4A" w:rsidP="00FD1C4A">
      <w:pPr>
        <w:tabs>
          <w:tab w:val="left" w:pos="720"/>
        </w:tabs>
        <w:adjustRightInd w:val="0"/>
        <w:snapToGrid w:val="0"/>
        <w:spacing w:after="0"/>
      </w:pPr>
      <w:r w:rsidRPr="00FD1C4A">
        <w:t>For DCI-based adaptation for additional PRACH resources, the PRACH mask to identify the subset of the additional PRACH resources is given by:</w:t>
      </w:r>
    </w:p>
    <w:p w14:paraId="453C61FF" w14:textId="77777777" w:rsidR="00FD1C4A" w:rsidRPr="00FD1C4A" w:rsidRDefault="00FD1C4A" w:rsidP="00FD1C4A">
      <w:pPr>
        <w:pStyle w:val="a4"/>
        <w:widowControl/>
        <w:numPr>
          <w:ilvl w:val="0"/>
          <w:numId w:val="6"/>
        </w:numPr>
        <w:autoSpaceDE/>
        <w:autoSpaceDN/>
        <w:adjustRightInd w:val="0"/>
        <w:snapToGrid w:val="0"/>
        <w:spacing w:after="0"/>
        <w:ind w:leftChars="0"/>
        <w:jc w:val="left"/>
      </w:pPr>
      <w:r w:rsidRPr="00FD1C4A">
        <w:t xml:space="preserve">Option 1-2:  Semi-static signalling of a PRACH mask index and a value of K </w:t>
      </w:r>
      <w:r w:rsidRPr="00FD1C4A">
        <w:rPr>
          <w:color w:val="FF0000"/>
        </w:rPr>
        <w:t>(number of association pattern periods)</w:t>
      </w:r>
    </w:p>
    <w:p w14:paraId="38885425" w14:textId="77777777" w:rsidR="00FD1C4A" w:rsidRPr="00FD1C4A" w:rsidRDefault="00FD1C4A" w:rsidP="00FD1C4A">
      <w:pPr>
        <w:pStyle w:val="a4"/>
        <w:widowControl/>
        <w:numPr>
          <w:ilvl w:val="1"/>
          <w:numId w:val="6"/>
        </w:numPr>
        <w:autoSpaceDE/>
        <w:autoSpaceDN/>
        <w:adjustRightInd w:val="0"/>
        <w:snapToGrid w:val="0"/>
        <w:spacing w:after="0"/>
        <w:ind w:leftChars="0"/>
        <w:jc w:val="left"/>
      </w:pPr>
      <w:r w:rsidRPr="00FD1C4A">
        <w:t>For K: one from up to four candidate values {2,4,8, [1 or 16]}</w:t>
      </w:r>
    </w:p>
    <w:tbl>
      <w:tblPr>
        <w:tblStyle w:val="a9"/>
        <w:tblW w:w="0" w:type="auto"/>
        <w:jc w:val="center"/>
        <w:tblLook w:val="04A0" w:firstRow="1" w:lastRow="0" w:firstColumn="1" w:lastColumn="0" w:noHBand="0" w:noVBand="1"/>
      </w:tblPr>
      <w:tblGrid>
        <w:gridCol w:w="2016"/>
        <w:gridCol w:w="6912"/>
      </w:tblGrid>
      <w:tr w:rsidR="00FD1C4A" w:rsidRPr="00FD1C4A" w14:paraId="2673F108" w14:textId="77777777" w:rsidTr="00467513">
        <w:trPr>
          <w:jc w:val="center"/>
        </w:trPr>
        <w:tc>
          <w:tcPr>
            <w:tcW w:w="2016" w:type="dxa"/>
          </w:tcPr>
          <w:p w14:paraId="6110E77B" w14:textId="77777777" w:rsidR="00FD1C4A" w:rsidRPr="00FD1C4A" w:rsidRDefault="00FD1C4A" w:rsidP="00467513">
            <w:pPr>
              <w:adjustRightInd w:val="0"/>
              <w:snapToGrid w:val="0"/>
              <w:spacing w:after="0"/>
              <w:rPr>
                <w:b/>
                <w:bCs/>
              </w:rPr>
            </w:pPr>
            <w:r w:rsidRPr="00FD1C4A">
              <w:rPr>
                <w:b/>
                <w:bCs/>
              </w:rPr>
              <w:t>Mask index</w:t>
            </w:r>
          </w:p>
        </w:tc>
        <w:tc>
          <w:tcPr>
            <w:tcW w:w="6912" w:type="dxa"/>
          </w:tcPr>
          <w:p w14:paraId="608D43EE" w14:textId="77777777" w:rsidR="00FD1C4A" w:rsidRPr="00FD1C4A" w:rsidRDefault="00FD1C4A" w:rsidP="00467513">
            <w:pPr>
              <w:adjustRightInd w:val="0"/>
              <w:snapToGrid w:val="0"/>
              <w:spacing w:after="0"/>
              <w:rPr>
                <w:b/>
                <w:bCs/>
              </w:rPr>
            </w:pPr>
            <w:r w:rsidRPr="00FD1C4A">
              <w:rPr>
                <w:b/>
                <w:bCs/>
              </w:rPr>
              <w:t>Indication of association periods (AP) for subset of additional PRACH resources within every K association pattern periods (APP)</w:t>
            </w:r>
          </w:p>
        </w:tc>
      </w:tr>
      <w:tr w:rsidR="00FD1C4A" w:rsidRPr="00FD1C4A" w14:paraId="32AE86E8" w14:textId="77777777" w:rsidTr="00467513">
        <w:trPr>
          <w:jc w:val="center"/>
        </w:trPr>
        <w:tc>
          <w:tcPr>
            <w:tcW w:w="2016" w:type="dxa"/>
          </w:tcPr>
          <w:p w14:paraId="48F28524" w14:textId="77777777" w:rsidR="00FD1C4A" w:rsidRPr="00FD1C4A" w:rsidRDefault="00FD1C4A" w:rsidP="00467513">
            <w:pPr>
              <w:adjustRightInd w:val="0"/>
              <w:snapToGrid w:val="0"/>
              <w:spacing w:after="0"/>
            </w:pPr>
            <w:r w:rsidRPr="00FD1C4A">
              <w:t>0</w:t>
            </w:r>
          </w:p>
        </w:tc>
        <w:tc>
          <w:tcPr>
            <w:tcW w:w="6912" w:type="dxa"/>
          </w:tcPr>
          <w:p w14:paraId="1AEA89A0" w14:textId="77777777" w:rsidR="00FD1C4A" w:rsidRPr="00FD1C4A" w:rsidRDefault="00FD1C4A" w:rsidP="00467513">
            <w:pPr>
              <w:adjustRightInd w:val="0"/>
              <w:snapToGrid w:val="0"/>
              <w:spacing w:after="0"/>
            </w:pPr>
            <w:r w:rsidRPr="00FD1C4A">
              <w:t>1</w:t>
            </w:r>
            <w:r w:rsidRPr="00FD1C4A">
              <w:rPr>
                <w:vertAlign w:val="superscript"/>
              </w:rPr>
              <w:t>st</w:t>
            </w:r>
            <w:r w:rsidRPr="00FD1C4A">
              <w:t xml:space="preserve"> half of the APs in K APPs</w:t>
            </w:r>
          </w:p>
        </w:tc>
      </w:tr>
      <w:tr w:rsidR="00FD1C4A" w:rsidRPr="00FD1C4A" w14:paraId="47D4AF8F" w14:textId="77777777" w:rsidTr="00467513">
        <w:trPr>
          <w:jc w:val="center"/>
        </w:trPr>
        <w:tc>
          <w:tcPr>
            <w:tcW w:w="2016" w:type="dxa"/>
          </w:tcPr>
          <w:p w14:paraId="6C7A4C91" w14:textId="77777777" w:rsidR="00FD1C4A" w:rsidRPr="00FD1C4A" w:rsidRDefault="00FD1C4A" w:rsidP="00467513">
            <w:pPr>
              <w:adjustRightInd w:val="0"/>
              <w:snapToGrid w:val="0"/>
              <w:spacing w:after="0"/>
            </w:pPr>
            <w:r w:rsidRPr="00FD1C4A">
              <w:t>1</w:t>
            </w:r>
          </w:p>
        </w:tc>
        <w:tc>
          <w:tcPr>
            <w:tcW w:w="6912" w:type="dxa"/>
          </w:tcPr>
          <w:p w14:paraId="2AD85229" w14:textId="77777777" w:rsidR="00FD1C4A" w:rsidRPr="00FD1C4A" w:rsidRDefault="00FD1C4A" w:rsidP="00467513">
            <w:pPr>
              <w:adjustRightInd w:val="0"/>
              <w:snapToGrid w:val="0"/>
              <w:spacing w:after="0"/>
            </w:pPr>
            <w:r w:rsidRPr="00FD1C4A">
              <w:t>1</w:t>
            </w:r>
            <w:r w:rsidRPr="00FD1C4A">
              <w:rPr>
                <w:vertAlign w:val="superscript"/>
              </w:rPr>
              <w:t>st</w:t>
            </w:r>
            <w:r w:rsidRPr="00FD1C4A">
              <w:t xml:space="preserve"> quarter of the APs in K APPs</w:t>
            </w:r>
          </w:p>
        </w:tc>
      </w:tr>
      <w:tr w:rsidR="00FD1C4A" w:rsidRPr="00FD1C4A" w14:paraId="68F2C324" w14:textId="77777777" w:rsidTr="00467513">
        <w:trPr>
          <w:jc w:val="center"/>
        </w:trPr>
        <w:tc>
          <w:tcPr>
            <w:tcW w:w="2016" w:type="dxa"/>
          </w:tcPr>
          <w:p w14:paraId="455FD16C" w14:textId="77777777" w:rsidR="00FD1C4A" w:rsidRPr="00FD1C4A" w:rsidRDefault="00FD1C4A" w:rsidP="00467513">
            <w:pPr>
              <w:adjustRightInd w:val="0"/>
              <w:snapToGrid w:val="0"/>
              <w:spacing w:after="0"/>
            </w:pPr>
            <w:r w:rsidRPr="00FD1C4A">
              <w:t>2</w:t>
            </w:r>
          </w:p>
        </w:tc>
        <w:tc>
          <w:tcPr>
            <w:tcW w:w="6912" w:type="dxa"/>
          </w:tcPr>
          <w:p w14:paraId="07F1F939" w14:textId="77777777" w:rsidR="00FD1C4A" w:rsidRPr="00FD1C4A" w:rsidRDefault="00FD1C4A" w:rsidP="00467513">
            <w:pPr>
              <w:adjustRightInd w:val="0"/>
              <w:snapToGrid w:val="0"/>
              <w:spacing w:after="0"/>
            </w:pPr>
            <w:r w:rsidRPr="00FD1C4A">
              <w:rPr>
                <w:color w:val="FF0000"/>
              </w:rPr>
              <w:t>1</w:t>
            </w:r>
            <w:r w:rsidRPr="00FD1C4A">
              <w:rPr>
                <w:color w:val="FF0000"/>
                <w:vertAlign w:val="superscript"/>
              </w:rPr>
              <w:t>st</w:t>
            </w:r>
            <w:r w:rsidRPr="00FD1C4A">
              <w:rPr>
                <w:color w:val="FF0000"/>
                <w:vertAlign w:val="superscript"/>
                <w:lang w:val="en-US"/>
              </w:rPr>
              <w:t xml:space="preserve"> </w:t>
            </w:r>
            <w:r w:rsidRPr="00FD1C4A">
              <w:rPr>
                <w:color w:val="FF0000"/>
                <w:lang w:val="en-US"/>
              </w:rPr>
              <w:t xml:space="preserve">eighth of </w:t>
            </w:r>
            <w:r w:rsidRPr="00FD1C4A">
              <w:rPr>
                <w:color w:val="FF0000"/>
              </w:rPr>
              <w:t>the APs in K APPs</w:t>
            </w:r>
          </w:p>
        </w:tc>
      </w:tr>
      <w:tr w:rsidR="00FD1C4A" w:rsidRPr="00FD1C4A" w14:paraId="21232EB6" w14:textId="77777777" w:rsidTr="00467513">
        <w:trPr>
          <w:jc w:val="center"/>
        </w:trPr>
        <w:tc>
          <w:tcPr>
            <w:tcW w:w="2016" w:type="dxa"/>
          </w:tcPr>
          <w:p w14:paraId="44352833" w14:textId="77777777" w:rsidR="00FD1C4A" w:rsidRPr="00FD1C4A" w:rsidRDefault="00FD1C4A" w:rsidP="00467513">
            <w:pPr>
              <w:adjustRightInd w:val="0"/>
              <w:snapToGrid w:val="0"/>
              <w:spacing w:after="0"/>
            </w:pPr>
            <w:r w:rsidRPr="00FD1C4A">
              <w:t>3</w:t>
            </w:r>
          </w:p>
        </w:tc>
        <w:tc>
          <w:tcPr>
            <w:tcW w:w="6912" w:type="dxa"/>
          </w:tcPr>
          <w:p w14:paraId="46540A7D" w14:textId="77777777" w:rsidR="00FD1C4A" w:rsidRPr="00FD1C4A" w:rsidRDefault="00FD1C4A" w:rsidP="00467513">
            <w:pPr>
              <w:adjustRightInd w:val="0"/>
              <w:snapToGrid w:val="0"/>
              <w:spacing w:after="0"/>
            </w:pPr>
            <w:r w:rsidRPr="00FD1C4A">
              <w:rPr>
                <w:color w:val="FF0000"/>
                <w:lang w:val="en-US"/>
              </w:rPr>
              <w:t>1</w:t>
            </w:r>
            <w:r w:rsidRPr="00FD1C4A">
              <w:rPr>
                <w:color w:val="FF0000"/>
                <w:vertAlign w:val="superscript"/>
                <w:lang w:val="en-US"/>
              </w:rPr>
              <w:t>st</w:t>
            </w:r>
            <w:r w:rsidRPr="00FD1C4A">
              <w:rPr>
                <w:color w:val="FF0000"/>
                <w:lang w:val="en-US"/>
              </w:rPr>
              <w:t xml:space="preserve"> sixteenth of the APs in K APPs</w:t>
            </w:r>
          </w:p>
        </w:tc>
      </w:tr>
    </w:tbl>
    <w:p w14:paraId="5DC3B2AA" w14:textId="77777777" w:rsidR="00FD1C4A" w:rsidRPr="00FD1C4A" w:rsidRDefault="00FD1C4A" w:rsidP="00FD1C4A">
      <w:pPr>
        <w:adjustRightInd w:val="0"/>
        <w:snapToGrid w:val="0"/>
        <w:spacing w:after="0"/>
        <w:rPr>
          <w:lang w:eastAsia="x-none"/>
        </w:rPr>
      </w:pPr>
    </w:p>
    <w:p w14:paraId="37AA0697" w14:textId="77777777" w:rsidR="00FD1C4A" w:rsidRPr="00FD1C4A" w:rsidRDefault="00FD1C4A" w:rsidP="00FD1C4A">
      <w:pPr>
        <w:adjustRightInd w:val="0"/>
        <w:snapToGrid w:val="0"/>
        <w:spacing w:after="0"/>
        <w:rPr>
          <w:b/>
          <w:bCs/>
          <w:lang w:eastAsia="x-none"/>
        </w:rPr>
      </w:pPr>
      <w:r w:rsidRPr="00FD1C4A">
        <w:rPr>
          <w:b/>
          <w:bCs/>
          <w:highlight w:val="green"/>
          <w:lang w:eastAsia="x-none"/>
        </w:rPr>
        <w:t>Agreement</w:t>
      </w:r>
    </w:p>
    <w:p w14:paraId="10CB98BD" w14:textId="77777777" w:rsidR="00FD1C4A" w:rsidRPr="00FD1C4A" w:rsidRDefault="00FD1C4A" w:rsidP="00FD1C4A">
      <w:pPr>
        <w:pStyle w:val="a4"/>
        <w:widowControl/>
        <w:numPr>
          <w:ilvl w:val="0"/>
          <w:numId w:val="6"/>
        </w:numPr>
        <w:autoSpaceDE/>
        <w:autoSpaceDN/>
        <w:adjustRightInd w:val="0"/>
        <w:snapToGrid w:val="0"/>
        <w:spacing w:after="0"/>
        <w:ind w:leftChars="0"/>
        <w:jc w:val="left"/>
        <w:rPr>
          <w:lang w:eastAsia="en-US"/>
        </w:rPr>
      </w:pPr>
      <w:r w:rsidRPr="00FD1C4A">
        <w:t>For DCI-based adaptation for additional PRACH resources, the reference point for the availability of additional PRACH resources indicated by DCI 1_0 with P-RNTI is the start of first frame of the current SI modification period where UE receives the DCI</w:t>
      </w:r>
    </w:p>
    <w:p w14:paraId="6DAF41E1" w14:textId="77777777" w:rsidR="00FD1C4A" w:rsidRPr="00FD1C4A" w:rsidRDefault="00FD1C4A" w:rsidP="00FD1C4A">
      <w:pPr>
        <w:pStyle w:val="a4"/>
        <w:widowControl/>
        <w:numPr>
          <w:ilvl w:val="0"/>
          <w:numId w:val="6"/>
        </w:numPr>
        <w:autoSpaceDE/>
        <w:autoSpaceDN/>
        <w:adjustRightInd w:val="0"/>
        <w:snapToGrid w:val="0"/>
        <w:spacing w:after="0"/>
        <w:ind w:leftChars="0"/>
        <w:jc w:val="left"/>
        <w:rPr>
          <w:lang w:eastAsia="en-US"/>
        </w:rPr>
      </w:pPr>
      <w:r w:rsidRPr="00FD1C4A">
        <w:t xml:space="preserve">The validity duration configured by higher layer signalling for the availability information of additional PRACH resources indicated by DCI 1_0 with P-RNTI is </w:t>
      </w:r>
    </w:p>
    <w:p w14:paraId="777F4FEB" w14:textId="77777777" w:rsidR="00FD1C4A" w:rsidRPr="00FD1C4A" w:rsidRDefault="00FD1C4A" w:rsidP="00FD1C4A">
      <w:pPr>
        <w:pStyle w:val="a4"/>
        <w:widowControl/>
        <w:numPr>
          <w:ilvl w:val="1"/>
          <w:numId w:val="6"/>
        </w:numPr>
        <w:autoSpaceDE/>
        <w:autoSpaceDN/>
        <w:adjustRightInd w:val="0"/>
        <w:snapToGrid w:val="0"/>
        <w:spacing w:after="0"/>
        <w:ind w:leftChars="0"/>
        <w:jc w:val="left"/>
        <w:rPr>
          <w:lang w:eastAsia="en-US"/>
        </w:rPr>
      </w:pPr>
      <w:r w:rsidRPr="00FD1C4A">
        <w:t>(Option 4) Multiple of SI modification period ({[1],2,[3],4,</w:t>
      </w:r>
      <w:proofErr w:type="gramStart"/>
      <w:r w:rsidRPr="00FD1C4A">
        <w:t>8,[</w:t>
      </w:r>
      <w:proofErr w:type="gramEnd"/>
      <w:r w:rsidRPr="00FD1C4A">
        <w:t>],[],..})</w:t>
      </w:r>
    </w:p>
    <w:p w14:paraId="5E75D6E5" w14:textId="77777777" w:rsidR="005F7797" w:rsidRPr="00FD1C4A" w:rsidRDefault="005F7797" w:rsidP="008C4BFF">
      <w:pPr>
        <w:rPr>
          <w:lang w:eastAsia="x-none"/>
        </w:rPr>
      </w:pPr>
    </w:p>
    <w:p w14:paraId="1070FC71" w14:textId="0BAFCE57" w:rsidR="008C4BFF" w:rsidRDefault="00667BB6" w:rsidP="008C4BFF">
      <w:pPr>
        <w:snapToGrid w:val="0"/>
      </w:pPr>
      <w:bookmarkStart w:id="6" w:name="_Hlk165554042"/>
      <w:r>
        <w:t xml:space="preserve">During the same </w:t>
      </w:r>
      <w:r w:rsidR="004948ED">
        <w:t>week</w:t>
      </w:r>
      <w:r>
        <w:t>, the following agreements were made in RAN2 [2]:</w:t>
      </w:r>
      <w:bookmarkEnd w:id="6"/>
    </w:p>
    <w:tbl>
      <w:tblPr>
        <w:tblStyle w:val="a9"/>
        <w:tblW w:w="0" w:type="auto"/>
        <w:tblLook w:val="04A0" w:firstRow="1" w:lastRow="0" w:firstColumn="1" w:lastColumn="0" w:noHBand="0" w:noVBand="1"/>
      </w:tblPr>
      <w:tblGrid>
        <w:gridCol w:w="9288"/>
      </w:tblGrid>
      <w:tr w:rsidR="008C4BFF" w14:paraId="245EC843" w14:textId="77777777" w:rsidTr="008C4BFF">
        <w:tc>
          <w:tcPr>
            <w:tcW w:w="9288" w:type="dxa"/>
          </w:tcPr>
          <w:p w14:paraId="633588A8" w14:textId="33D52F7B" w:rsidR="008C4BFF" w:rsidRPr="00484815" w:rsidRDefault="008C4BFF" w:rsidP="008C4BFF">
            <w:pPr>
              <w:spacing w:after="0"/>
              <w:rPr>
                <w:b/>
              </w:rPr>
            </w:pPr>
            <w:r w:rsidRPr="00484815">
              <w:rPr>
                <w:rFonts w:hint="eastAsia"/>
                <w:b/>
              </w:rPr>
              <w:t>Agreements</w:t>
            </w:r>
            <w:r w:rsidRPr="00484815">
              <w:rPr>
                <w:b/>
              </w:rPr>
              <w:t xml:space="preserve"> </w:t>
            </w:r>
            <w:r w:rsidRPr="00484815">
              <w:rPr>
                <w:rFonts w:hint="eastAsia"/>
                <w:b/>
              </w:rPr>
              <w:t>on</w:t>
            </w:r>
            <w:r w:rsidRPr="00484815">
              <w:rPr>
                <w:b/>
              </w:rPr>
              <w:t xml:space="preserve"> </w:t>
            </w:r>
            <w:r w:rsidR="00B67467">
              <w:rPr>
                <w:b/>
              </w:rPr>
              <w:t>common channel adaptation</w:t>
            </w:r>
          </w:p>
          <w:p w14:paraId="3FCC98DC" w14:textId="217D9A9D" w:rsidR="00B67467" w:rsidRDefault="004948ED" w:rsidP="00B67467">
            <w:pPr>
              <w:spacing w:after="0"/>
            </w:pPr>
            <w:r w:rsidRPr="00484815">
              <w:t>1.</w:t>
            </w:r>
            <w:r w:rsidR="00484815" w:rsidRPr="00484815">
              <w:t xml:space="preserve"> </w:t>
            </w:r>
            <w:r w:rsidR="00B67467">
              <w:t>For the case when both pei-Config-r17 and pagingAdaptationPEI-Config-r19 are configured, R19 UE supporting paging adaption should monitor PEI according to pagingAdaptationPEI-Config-r19 while other UE should monitor PEI according to pei-Config-r17.</w:t>
            </w:r>
          </w:p>
          <w:p w14:paraId="27110AF6" w14:textId="4FF2A128" w:rsidR="00B67467" w:rsidRDefault="00B67467" w:rsidP="00B67467">
            <w:pPr>
              <w:spacing w:after="0"/>
            </w:pPr>
            <w:r>
              <w:t>2. For the case when pei-Config-r17 is configured and pagingAdaptationPEI-Config-r19 is absent, both R19 UE supporting paging adaption and other UE should monitor PEI according to pei-Config-r17.</w:t>
            </w:r>
          </w:p>
          <w:p w14:paraId="53DE4D71" w14:textId="421072CE" w:rsidR="00B67467" w:rsidRDefault="00B67467" w:rsidP="00B67467">
            <w:pPr>
              <w:spacing w:after="0"/>
            </w:pPr>
            <w:r>
              <w:t>3. Paging clustering/bundling/adaptation is not supported/applied in RRC_CONNECTED.</w:t>
            </w:r>
          </w:p>
          <w:p w14:paraId="124DCC3C" w14:textId="086658C8" w:rsidR="00B67467" w:rsidRDefault="00B67467" w:rsidP="00B67467">
            <w:pPr>
              <w:spacing w:after="0"/>
            </w:pPr>
            <w:r>
              <w:t>4. Not support MAC CE based signalling to indicate SSB adaptation in addition to DCI agreed in RAN1.</w:t>
            </w:r>
          </w:p>
          <w:p w14:paraId="4DA0C7A7" w14:textId="1F987093" w:rsidR="00B67467" w:rsidRDefault="00B67467" w:rsidP="00B67467">
            <w:pPr>
              <w:spacing w:after="0"/>
            </w:pPr>
            <w:r>
              <w:t>5. For SSB adaptation, multiple additional SMTC configurations are configured to UE via RRC, together with the mapping between SSB burst periodicity and SMTC configuration.</w:t>
            </w:r>
          </w:p>
          <w:p w14:paraId="3B50C33D" w14:textId="0C79955B" w:rsidR="00484815" w:rsidRPr="00484815" w:rsidRDefault="00B67467" w:rsidP="00B67467">
            <w:pPr>
              <w:spacing w:after="0"/>
              <w:rPr>
                <w:lang w:val="en-US"/>
              </w:rPr>
            </w:pPr>
            <w:r>
              <w:t>6. Upon reception of DCI format 2_9 for SSB burst periodicity switching, UE selects one SMTC configuration accordingly.</w:t>
            </w:r>
          </w:p>
        </w:tc>
      </w:tr>
    </w:tbl>
    <w:p w14:paraId="2E6B67EC" w14:textId="77777777" w:rsidR="008C4BFF" w:rsidRDefault="008C4BFF" w:rsidP="00C02370"/>
    <w:p w14:paraId="1C30A112" w14:textId="12E83126" w:rsidR="008B527E" w:rsidRDefault="008B527E" w:rsidP="008B527E">
      <w:r w:rsidRPr="004C58CE">
        <w:t xml:space="preserve">In this contribution, we </w:t>
      </w:r>
      <w:r w:rsidR="003720CD" w:rsidRPr="004C58CE">
        <w:t>provide</w:t>
      </w:r>
      <w:r w:rsidRPr="004C58CE">
        <w:t xml:space="preserve"> our view</w:t>
      </w:r>
      <w:r w:rsidR="004C58CE" w:rsidRPr="004C58CE">
        <w:t>s</w:t>
      </w:r>
      <w:r w:rsidRPr="004C58CE">
        <w:t xml:space="preserve"> on </w:t>
      </w:r>
      <w:r w:rsidR="002D6D0B">
        <w:t>remaining issues</w:t>
      </w:r>
      <w:r w:rsidRPr="004C58CE">
        <w:t xml:space="preserve"> for </w:t>
      </w:r>
      <w:r w:rsidR="0038185F">
        <w:rPr>
          <w:rFonts w:hint="eastAsia"/>
        </w:rPr>
        <w:t xml:space="preserve">the </w:t>
      </w:r>
      <w:r w:rsidRPr="004C58CE">
        <w:t xml:space="preserve">adaptation of common signal/channel transmissions for </w:t>
      </w:r>
      <w:r w:rsidR="0038185F">
        <w:rPr>
          <w:rFonts w:hint="eastAsia"/>
        </w:rPr>
        <w:t xml:space="preserve">Rel-19 </w:t>
      </w:r>
      <w:r w:rsidRPr="004C58CE">
        <w:t>NES.</w:t>
      </w:r>
    </w:p>
    <w:p w14:paraId="652A7034" w14:textId="77777777" w:rsidR="008B527E" w:rsidRPr="008B527E" w:rsidRDefault="008B527E" w:rsidP="00C02370"/>
    <w:p w14:paraId="1CA44EF5" w14:textId="005B2A26" w:rsidR="00B14A93" w:rsidRPr="003F3363" w:rsidRDefault="00640844" w:rsidP="00927A05">
      <w:pPr>
        <w:pStyle w:val="1"/>
      </w:pPr>
      <w:r>
        <w:rPr>
          <w:lang w:eastAsia="ko-KR"/>
        </w:rPr>
        <w:t>Discussion</w:t>
      </w:r>
      <w:r w:rsidR="00291C2F">
        <w:rPr>
          <w:lang w:eastAsia="ko-KR"/>
        </w:rPr>
        <w:t xml:space="preserve"> </w:t>
      </w:r>
      <w:r w:rsidR="00291C2F">
        <w:rPr>
          <w:rFonts w:hint="eastAsia"/>
          <w:lang w:eastAsia="ko-KR"/>
        </w:rPr>
        <w:t>on</w:t>
      </w:r>
      <w:r w:rsidR="00291C2F">
        <w:rPr>
          <w:lang w:eastAsia="ko-KR"/>
        </w:rPr>
        <w:t xml:space="preserve"> SSB time domain adaptation</w:t>
      </w:r>
    </w:p>
    <w:p w14:paraId="001A996E" w14:textId="02223821" w:rsidR="004E7206" w:rsidRDefault="000F092F" w:rsidP="004E7206">
      <w:pPr>
        <w:rPr>
          <w:b/>
          <w:highlight w:val="cyan"/>
          <w:u w:val="single"/>
        </w:rPr>
      </w:pPr>
      <w:r>
        <w:rPr>
          <w:rFonts w:hint="eastAsia"/>
          <w:b/>
          <w:highlight w:val="cyan"/>
          <w:u w:val="single"/>
        </w:rPr>
        <w:t xml:space="preserve">Clarification on </w:t>
      </w:r>
      <w:proofErr w:type="spellStart"/>
      <w:r w:rsidR="00055707">
        <w:rPr>
          <w:rFonts w:hint="eastAsia"/>
          <w:b/>
          <w:highlight w:val="cyan"/>
          <w:u w:val="single"/>
        </w:rPr>
        <w:t>SCell</w:t>
      </w:r>
      <w:r w:rsidR="003D5A88">
        <w:rPr>
          <w:rFonts w:hint="eastAsia"/>
          <w:b/>
          <w:highlight w:val="cyan"/>
          <w:u w:val="single"/>
        </w:rPr>
        <w:t>s</w:t>
      </w:r>
      <w:proofErr w:type="spellEnd"/>
      <w:r w:rsidR="00055707">
        <w:rPr>
          <w:rFonts w:hint="eastAsia"/>
          <w:b/>
          <w:highlight w:val="cyan"/>
          <w:u w:val="single"/>
        </w:rPr>
        <w:t xml:space="preserve"> </w:t>
      </w:r>
      <w:r w:rsidR="003D5A88">
        <w:rPr>
          <w:rFonts w:hint="eastAsia"/>
          <w:b/>
          <w:highlight w:val="cyan"/>
          <w:u w:val="single"/>
        </w:rPr>
        <w:t xml:space="preserve">configured </w:t>
      </w:r>
      <w:r w:rsidR="00055707">
        <w:rPr>
          <w:rFonts w:hint="eastAsia"/>
          <w:b/>
          <w:highlight w:val="cyan"/>
          <w:u w:val="single"/>
        </w:rPr>
        <w:t>with multiple SSBs</w:t>
      </w:r>
    </w:p>
    <w:p w14:paraId="2213F548" w14:textId="38DABB4A" w:rsidR="00660113" w:rsidRDefault="00660113" w:rsidP="00660113">
      <w:pPr>
        <w:rPr>
          <w:lang w:val="en-US"/>
        </w:rPr>
      </w:pPr>
      <w:r w:rsidRPr="00660113">
        <w:rPr>
          <w:lang w:val="en-US"/>
        </w:rPr>
        <w:t xml:space="preserve">A UE operating with multiple BWPs on an </w:t>
      </w:r>
      <w:proofErr w:type="spellStart"/>
      <w:r w:rsidRPr="00660113">
        <w:rPr>
          <w:lang w:val="en-US"/>
        </w:rPr>
        <w:t>SCell</w:t>
      </w:r>
      <w:proofErr w:type="spellEnd"/>
      <w:r w:rsidRPr="00660113">
        <w:rPr>
          <w:lang w:val="en-US"/>
        </w:rPr>
        <w:t xml:space="preserve"> can be configured with multiple SSBs. For example, the UE may be configured with an SSB through </w:t>
      </w:r>
      <w:proofErr w:type="spellStart"/>
      <w:r w:rsidRPr="00660113">
        <w:rPr>
          <w:lang w:val="en-US"/>
        </w:rPr>
        <w:t>servingCellConfigCommon</w:t>
      </w:r>
      <w:proofErr w:type="spellEnd"/>
      <w:r w:rsidRPr="00660113">
        <w:rPr>
          <w:lang w:val="en-US"/>
        </w:rPr>
        <w:t xml:space="preserve">, and additionally with one or more NCD-SSBs, each associated with a DL BWP. </w:t>
      </w:r>
      <w:r w:rsidRPr="00660113">
        <w:t>In another case</w:t>
      </w:r>
      <w:r w:rsidRPr="00660113">
        <w:rPr>
          <w:lang w:val="en-US"/>
        </w:rPr>
        <w:t>, a pair of AO-SSB and OD-SSB may coexist within the same DL BWP.</w:t>
      </w:r>
    </w:p>
    <w:p w14:paraId="3E12EF04" w14:textId="136C9340" w:rsidR="00AA1145" w:rsidRPr="00AA1145" w:rsidRDefault="00AA1145" w:rsidP="00AA1145">
      <w:pPr>
        <w:rPr>
          <w:lang w:val="en-US"/>
        </w:rPr>
      </w:pPr>
      <w:r w:rsidRPr="00AA1145">
        <w:rPr>
          <w:lang w:val="en-US"/>
        </w:rPr>
        <w:t>In such cases, it is not clear which SSB is being referred to by the DCI indication.</w:t>
      </w:r>
      <w:r>
        <w:rPr>
          <w:rFonts w:hint="eastAsia"/>
          <w:lang w:val="en-US"/>
        </w:rPr>
        <w:t xml:space="preserve"> </w:t>
      </w:r>
      <w:r w:rsidRPr="00AA1145">
        <w:rPr>
          <w:lang w:val="en-US"/>
        </w:rPr>
        <w:t>One possible interpretation is that the SSB indicated by the DCI corresponds to the one currently received by the UE on the active DL BWP.</w:t>
      </w:r>
      <w:r>
        <w:rPr>
          <w:rFonts w:hint="eastAsia"/>
          <w:lang w:val="en-US"/>
        </w:rPr>
        <w:t xml:space="preserve"> </w:t>
      </w:r>
      <w:r w:rsidRPr="00AA1145">
        <w:rPr>
          <w:lang w:val="en-US"/>
        </w:rPr>
        <w:t xml:space="preserve">However, when dynamic BWP switching is taken into account, further clarification is required regarding the definition of the </w:t>
      </w:r>
      <w:r w:rsidR="004D7184">
        <w:rPr>
          <w:lang w:val="en-US"/>
        </w:rPr>
        <w:t>“</w:t>
      </w:r>
      <w:r w:rsidRPr="00AA1145">
        <w:rPr>
          <w:lang w:val="en-US"/>
        </w:rPr>
        <w:t>active DL BWP</w:t>
      </w:r>
      <w:r w:rsidR="004D7184">
        <w:rPr>
          <w:lang w:val="en-US"/>
        </w:rPr>
        <w:t>”</w:t>
      </w:r>
      <w:r w:rsidRPr="00AA1145">
        <w:rPr>
          <w:lang w:val="en-US"/>
        </w:rPr>
        <w:t xml:space="preserve"> at the time the DCI is interpreted.</w:t>
      </w:r>
    </w:p>
    <w:p w14:paraId="2E96AF85" w14:textId="52D61DA8" w:rsidR="00814A74" w:rsidRDefault="00814A74" w:rsidP="00AA1145">
      <w:r w:rsidRPr="00814A74">
        <w:t xml:space="preserve">Let us consider the following scenario: UE receives a DCI format 2_9 on the </w:t>
      </w:r>
      <w:r>
        <w:rPr>
          <w:rFonts w:hint="eastAsia"/>
        </w:rPr>
        <w:t>1</w:t>
      </w:r>
      <w:r w:rsidRPr="00814A74">
        <w:rPr>
          <w:rFonts w:hint="eastAsia"/>
          <w:vertAlign w:val="superscript"/>
        </w:rPr>
        <w:t>st</w:t>
      </w:r>
      <w:r w:rsidRPr="00814A74">
        <w:t xml:space="preserve"> DL BWP, and subsequently switches to the </w:t>
      </w:r>
      <w:r>
        <w:rPr>
          <w:rFonts w:hint="eastAsia"/>
        </w:rPr>
        <w:t>2</w:t>
      </w:r>
      <w:r w:rsidRPr="00814A74">
        <w:rPr>
          <w:rFonts w:hint="eastAsia"/>
          <w:vertAlign w:val="superscript"/>
        </w:rPr>
        <w:t>nd</w:t>
      </w:r>
      <w:r w:rsidRPr="00814A74">
        <w:t xml:space="preserve"> DL BWP, resulting in a change in the associated SSB, as illustrated in Figure 1.</w:t>
      </w:r>
    </w:p>
    <w:p w14:paraId="5447A1DD" w14:textId="77777777" w:rsidR="003154F4" w:rsidRDefault="003154F4" w:rsidP="00AA1145"/>
    <w:p w14:paraId="62BBC98A" w14:textId="5933E715" w:rsidR="004F3D41" w:rsidRDefault="004F3D41" w:rsidP="004F3D41">
      <w:pPr>
        <w:jc w:val="center"/>
        <w:rPr>
          <w:lang w:val="en-US"/>
        </w:rPr>
      </w:pPr>
      <w:r w:rsidRPr="004F3D41">
        <w:rPr>
          <w:noProof/>
          <w:lang w:val="en-US"/>
        </w:rPr>
        <w:drawing>
          <wp:inline distT="0" distB="0" distL="0" distR="0" wp14:anchorId="3734F76E" wp14:editId="60A3BE1E">
            <wp:extent cx="4486343" cy="1701800"/>
            <wp:effectExtent l="0" t="0" r="952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09465" cy="1710571"/>
                    </a:xfrm>
                    <a:prstGeom prst="rect">
                      <a:avLst/>
                    </a:prstGeom>
                  </pic:spPr>
                </pic:pic>
              </a:graphicData>
            </a:graphic>
          </wp:inline>
        </w:drawing>
      </w:r>
    </w:p>
    <w:p w14:paraId="10541D3A" w14:textId="686FE39F" w:rsidR="004F3D41" w:rsidRDefault="004F3D41" w:rsidP="004F3D41">
      <w:pPr>
        <w:jc w:val="center"/>
        <w:rPr>
          <w:lang w:val="en-US"/>
        </w:rPr>
      </w:pPr>
      <w:r>
        <w:rPr>
          <w:rFonts w:hint="eastAsia"/>
          <w:lang w:val="en-US"/>
        </w:rPr>
        <w:t xml:space="preserve">Figure 1: </w:t>
      </w:r>
      <w:r w:rsidR="00814A74">
        <w:rPr>
          <w:rFonts w:hint="eastAsia"/>
          <w:lang w:val="en-US"/>
        </w:rPr>
        <w:t>SSB periodicity adaptation with BWP switching</w:t>
      </w:r>
    </w:p>
    <w:p w14:paraId="0DA938CE" w14:textId="77777777" w:rsidR="003154F4" w:rsidRDefault="003154F4" w:rsidP="00AA1145">
      <w:pPr>
        <w:rPr>
          <w:lang w:val="en-US"/>
        </w:rPr>
      </w:pPr>
    </w:p>
    <w:p w14:paraId="7768459D" w14:textId="04C17B70" w:rsidR="00AA1145" w:rsidRPr="00AA1145" w:rsidRDefault="00AA1145" w:rsidP="00AA1145">
      <w:pPr>
        <w:rPr>
          <w:lang w:val="en-US"/>
        </w:rPr>
      </w:pPr>
      <w:r w:rsidRPr="00AA1145">
        <w:rPr>
          <w:lang w:val="en-US"/>
        </w:rPr>
        <w:lastRenderedPageBreak/>
        <w:t>In this case, two possible interpretations arise:</w:t>
      </w:r>
    </w:p>
    <w:p w14:paraId="76439E14" w14:textId="737895CC" w:rsidR="00AA1145" w:rsidRPr="00AA1145" w:rsidRDefault="00AA1145" w:rsidP="00AA1145">
      <w:pPr>
        <w:numPr>
          <w:ilvl w:val="0"/>
          <w:numId w:val="47"/>
        </w:numPr>
        <w:rPr>
          <w:lang w:val="en-US"/>
        </w:rPr>
      </w:pPr>
      <w:r w:rsidRPr="00AA1145">
        <w:rPr>
          <w:b/>
          <w:bCs/>
          <w:lang w:val="en-US"/>
        </w:rPr>
        <w:t>Alternative 1</w:t>
      </w:r>
      <w:r w:rsidRPr="00AA1145">
        <w:rPr>
          <w:lang w:val="en-US"/>
        </w:rPr>
        <w:t xml:space="preserve">: The indicated SSB periodicity is applied only to the </w:t>
      </w:r>
      <w:r w:rsidR="00814A74">
        <w:rPr>
          <w:rFonts w:hint="eastAsia"/>
          <w:lang w:val="en-US"/>
        </w:rPr>
        <w:t>1</w:t>
      </w:r>
      <w:r w:rsidR="00814A74" w:rsidRPr="00814A74">
        <w:rPr>
          <w:rFonts w:hint="eastAsia"/>
          <w:vertAlign w:val="superscript"/>
          <w:lang w:val="en-US"/>
        </w:rPr>
        <w:t>st</w:t>
      </w:r>
      <w:r w:rsidR="00814A74">
        <w:rPr>
          <w:rFonts w:hint="eastAsia"/>
          <w:lang w:val="en-US"/>
        </w:rPr>
        <w:t xml:space="preserve"> </w:t>
      </w:r>
      <w:r w:rsidR="004D7184">
        <w:rPr>
          <w:rFonts w:hint="eastAsia"/>
          <w:lang w:val="en-US"/>
        </w:rPr>
        <w:t xml:space="preserve">SSB received on the </w:t>
      </w:r>
      <w:r w:rsidRPr="00AA1145">
        <w:rPr>
          <w:lang w:val="en-US"/>
        </w:rPr>
        <w:t>1</w:t>
      </w:r>
      <w:r w:rsidR="00814A74" w:rsidRPr="00814A74">
        <w:rPr>
          <w:rFonts w:hint="eastAsia"/>
          <w:vertAlign w:val="superscript"/>
          <w:lang w:val="en-US"/>
        </w:rPr>
        <w:t>st</w:t>
      </w:r>
      <w:r w:rsidRPr="00AA1145">
        <w:rPr>
          <w:lang w:val="en-US"/>
        </w:rPr>
        <w:t xml:space="preserve"> DL BWP (i.e., the BWP on which the DCI was received).</w:t>
      </w:r>
    </w:p>
    <w:p w14:paraId="1B1463D2" w14:textId="3C1EB8F4" w:rsidR="00AA1145" w:rsidRPr="00AA1145" w:rsidRDefault="00AA1145" w:rsidP="00AA1145">
      <w:pPr>
        <w:numPr>
          <w:ilvl w:val="0"/>
          <w:numId w:val="47"/>
        </w:numPr>
        <w:rPr>
          <w:lang w:val="en-US"/>
        </w:rPr>
      </w:pPr>
      <w:r w:rsidRPr="00AA1145">
        <w:rPr>
          <w:b/>
          <w:bCs/>
          <w:lang w:val="en-US"/>
        </w:rPr>
        <w:t>Alternative 2</w:t>
      </w:r>
      <w:r w:rsidRPr="00AA1145">
        <w:rPr>
          <w:lang w:val="en-US"/>
        </w:rPr>
        <w:t>: The indicated SSB periodicity is applied to both the 1</w:t>
      </w:r>
      <w:r w:rsidR="00814A74" w:rsidRPr="00814A74">
        <w:rPr>
          <w:rFonts w:hint="eastAsia"/>
          <w:vertAlign w:val="superscript"/>
          <w:lang w:val="en-US"/>
        </w:rPr>
        <w:t>st</w:t>
      </w:r>
      <w:r w:rsidRPr="00AA1145">
        <w:rPr>
          <w:lang w:val="en-US"/>
        </w:rPr>
        <w:t xml:space="preserve"> and </w:t>
      </w:r>
      <w:r w:rsidR="00814A74">
        <w:rPr>
          <w:rFonts w:hint="eastAsia"/>
          <w:lang w:val="en-US"/>
        </w:rPr>
        <w:t>2</w:t>
      </w:r>
      <w:r w:rsidR="00814A74" w:rsidRPr="00814A74">
        <w:rPr>
          <w:rFonts w:hint="eastAsia"/>
          <w:vertAlign w:val="superscript"/>
          <w:lang w:val="en-US"/>
        </w:rPr>
        <w:t>nd</w:t>
      </w:r>
      <w:r w:rsidRPr="00AA1145">
        <w:rPr>
          <w:lang w:val="en-US"/>
        </w:rPr>
        <w:t xml:space="preserve"> DL BWPs, including the newly associated </w:t>
      </w:r>
      <w:r w:rsidR="00814A74">
        <w:rPr>
          <w:rFonts w:hint="eastAsia"/>
          <w:lang w:val="en-US"/>
        </w:rPr>
        <w:t>2</w:t>
      </w:r>
      <w:r w:rsidR="00814A74" w:rsidRPr="00814A74">
        <w:rPr>
          <w:rFonts w:hint="eastAsia"/>
          <w:vertAlign w:val="superscript"/>
          <w:lang w:val="en-US"/>
        </w:rPr>
        <w:t>nd</w:t>
      </w:r>
      <w:r w:rsidR="00814A74">
        <w:rPr>
          <w:rFonts w:hint="eastAsia"/>
          <w:lang w:val="en-US"/>
        </w:rPr>
        <w:t xml:space="preserve"> </w:t>
      </w:r>
      <w:r w:rsidRPr="00AA1145">
        <w:rPr>
          <w:lang w:val="en-US"/>
        </w:rPr>
        <w:t>SSB after the switch.</w:t>
      </w:r>
    </w:p>
    <w:p w14:paraId="5C7D5C40" w14:textId="47FF8A3E" w:rsidR="00814A74" w:rsidRPr="00814A74" w:rsidRDefault="00814A74" w:rsidP="00814A74">
      <w:pPr>
        <w:rPr>
          <w:lang w:val="en-US"/>
        </w:rPr>
      </w:pPr>
      <w:r w:rsidRPr="00814A74">
        <w:rPr>
          <w:lang w:val="en-US"/>
        </w:rPr>
        <w:t xml:space="preserve">Under Alternative 1, UE </w:t>
      </w:r>
      <w:r>
        <w:rPr>
          <w:rFonts w:hint="eastAsia"/>
          <w:lang w:val="en-US"/>
        </w:rPr>
        <w:t xml:space="preserve">may </w:t>
      </w:r>
      <w:r w:rsidRPr="00814A74">
        <w:rPr>
          <w:lang w:val="en-US"/>
        </w:rPr>
        <w:t xml:space="preserve">apply the old periodicity </w:t>
      </w:r>
      <w:r>
        <w:rPr>
          <w:rFonts w:hint="eastAsia"/>
          <w:lang w:val="en-US"/>
        </w:rPr>
        <w:t xml:space="preserve">(other than the indicated one) </w:t>
      </w:r>
      <w:r w:rsidRPr="00814A74">
        <w:rPr>
          <w:lang w:val="en-US"/>
        </w:rPr>
        <w:t xml:space="preserve">when receiving the </w:t>
      </w:r>
      <w:r>
        <w:rPr>
          <w:rFonts w:hint="eastAsia"/>
          <w:lang w:val="en-US"/>
        </w:rPr>
        <w:t>2</w:t>
      </w:r>
      <w:r w:rsidRPr="00814A74">
        <w:rPr>
          <w:rFonts w:hint="eastAsia"/>
          <w:vertAlign w:val="superscript"/>
          <w:lang w:val="en-US"/>
        </w:rPr>
        <w:t>nd</w:t>
      </w:r>
      <w:r w:rsidRPr="00814A74">
        <w:rPr>
          <w:lang w:val="en-US"/>
        </w:rPr>
        <w:t xml:space="preserve"> SSB on the </w:t>
      </w:r>
      <w:r>
        <w:rPr>
          <w:rFonts w:hint="eastAsia"/>
          <w:lang w:val="en-US"/>
        </w:rPr>
        <w:t>2</w:t>
      </w:r>
      <w:r w:rsidRPr="00814A74">
        <w:rPr>
          <w:rFonts w:hint="eastAsia"/>
          <w:vertAlign w:val="superscript"/>
          <w:lang w:val="en-US"/>
        </w:rPr>
        <w:t>nd</w:t>
      </w:r>
      <w:r w:rsidRPr="00814A74">
        <w:rPr>
          <w:lang w:val="en-US"/>
        </w:rPr>
        <w:t xml:space="preserve"> DL BWP. In this case, the </w:t>
      </w:r>
      <w:proofErr w:type="spellStart"/>
      <w:r w:rsidRPr="00814A74">
        <w:rPr>
          <w:lang w:val="en-US"/>
        </w:rPr>
        <w:t>gNB</w:t>
      </w:r>
      <w:proofErr w:type="spellEnd"/>
      <w:r w:rsidRPr="00814A74">
        <w:rPr>
          <w:lang w:val="en-US"/>
        </w:rPr>
        <w:t xml:space="preserve"> would be required to transmit another DCI 2_9 to update the periodicity of the </w:t>
      </w:r>
      <w:r>
        <w:rPr>
          <w:rFonts w:hint="eastAsia"/>
          <w:lang w:val="en-US"/>
        </w:rPr>
        <w:t>2</w:t>
      </w:r>
      <w:r w:rsidRPr="00814A74">
        <w:rPr>
          <w:rFonts w:hint="eastAsia"/>
          <w:vertAlign w:val="superscript"/>
          <w:lang w:val="en-US"/>
        </w:rPr>
        <w:t>nd</w:t>
      </w:r>
      <w:r w:rsidRPr="00814A74">
        <w:rPr>
          <w:lang w:val="en-US"/>
        </w:rPr>
        <w:t xml:space="preserve"> SSB, which introduces additional signaling delay and may disrupt the ongoing NES operation.</w:t>
      </w:r>
    </w:p>
    <w:p w14:paraId="03D6DA01" w14:textId="105CCFDD" w:rsidR="00814A74" w:rsidRDefault="00814A74" w:rsidP="00660113">
      <w:pPr>
        <w:rPr>
          <w:rFonts w:hint="eastAsia"/>
          <w:lang w:val="en-US"/>
        </w:rPr>
      </w:pPr>
      <w:r w:rsidRPr="00814A74">
        <w:rPr>
          <w:lang w:val="en-US"/>
        </w:rPr>
        <w:t>In contrast, Alternative 2 avoids this issue by applying the indicated SSB periodicity regardless of the currently active DL BWP. This approach ensures consistent behavior across BWP transitions and is particularly suitable for scenarios where SSB adaptation is designed to operate independently of BWP-specific configurations.</w:t>
      </w:r>
      <w:r>
        <w:rPr>
          <w:rFonts w:hint="eastAsia"/>
          <w:lang w:val="en-US"/>
        </w:rPr>
        <w:t xml:space="preserve"> </w:t>
      </w:r>
      <w:r>
        <w:rPr>
          <w:rFonts w:hint="eastAsia"/>
        </w:rPr>
        <w:t>T</w:t>
      </w:r>
      <w:r w:rsidRPr="00814A74">
        <w:t xml:space="preserve">herefore, Alternative 2 is preferred, as it provides a more robust </w:t>
      </w:r>
      <w:proofErr w:type="spellStart"/>
      <w:r w:rsidRPr="00814A74">
        <w:t>behavior</w:t>
      </w:r>
      <w:proofErr w:type="spellEnd"/>
      <w:r w:rsidRPr="00814A74">
        <w:t xml:space="preserve"> for SSB periodicity adaptation across BWP transitions</w:t>
      </w:r>
      <w:r>
        <w:rPr>
          <w:rFonts w:hint="eastAsia"/>
        </w:rPr>
        <w:t>.</w:t>
      </w:r>
      <w:r w:rsidR="004771E5">
        <w:rPr>
          <w:rFonts w:hint="eastAsia"/>
        </w:rPr>
        <w:t xml:space="preserve"> </w:t>
      </w:r>
      <w:r w:rsidR="004771E5" w:rsidRPr="004771E5">
        <w:t xml:space="preserve">When combined with the OD-SSB feature, the SSB periodicity adaptation </w:t>
      </w:r>
      <w:r w:rsidR="004771E5">
        <w:rPr>
          <w:rFonts w:hint="eastAsia"/>
        </w:rPr>
        <w:t>can be applied</w:t>
      </w:r>
      <w:r w:rsidR="004771E5" w:rsidRPr="004771E5">
        <w:t xml:space="preserve"> </w:t>
      </w:r>
      <w:r w:rsidR="004771E5">
        <w:rPr>
          <w:rFonts w:hint="eastAsia"/>
        </w:rPr>
        <w:t>only</w:t>
      </w:r>
      <w:r w:rsidR="004771E5" w:rsidRPr="004771E5">
        <w:t xml:space="preserve"> to the AO-SSB</w:t>
      </w:r>
      <w:r w:rsidR="004771E5">
        <w:rPr>
          <w:rFonts w:hint="eastAsia"/>
        </w:rPr>
        <w:t>.</w:t>
      </w:r>
    </w:p>
    <w:p w14:paraId="3E02034A" w14:textId="65DB6587" w:rsidR="00814A74" w:rsidRDefault="00814A74" w:rsidP="00660113">
      <w:pPr>
        <w:rPr>
          <w:b/>
          <w:bCs/>
        </w:rPr>
      </w:pPr>
      <w:r w:rsidRPr="008105D3">
        <w:rPr>
          <w:b/>
          <w:bCs/>
        </w:rPr>
        <w:t>Proposal</w:t>
      </w:r>
      <w:r w:rsidR="008105D3" w:rsidRPr="008105D3">
        <w:rPr>
          <w:rFonts w:hint="eastAsia"/>
          <w:b/>
          <w:bCs/>
        </w:rPr>
        <w:t xml:space="preserve"> 1</w:t>
      </w:r>
      <w:r w:rsidRPr="008105D3">
        <w:rPr>
          <w:b/>
          <w:bCs/>
        </w:rPr>
        <w:t>: When a DCI format 2_9 indicates a SSB periodicity</w:t>
      </w:r>
      <w:r w:rsidRPr="008105D3">
        <w:rPr>
          <w:rFonts w:hint="eastAsia"/>
          <w:b/>
          <w:bCs/>
        </w:rPr>
        <w:t xml:space="preserve"> for an </w:t>
      </w:r>
      <w:proofErr w:type="spellStart"/>
      <w:r w:rsidRPr="008105D3">
        <w:rPr>
          <w:rFonts w:hint="eastAsia"/>
          <w:b/>
          <w:bCs/>
        </w:rPr>
        <w:t>SCell</w:t>
      </w:r>
      <w:proofErr w:type="spellEnd"/>
      <w:r w:rsidRPr="008105D3">
        <w:rPr>
          <w:b/>
          <w:bCs/>
        </w:rPr>
        <w:t xml:space="preserve">, the indicated periodicity </w:t>
      </w:r>
      <w:r w:rsidR="008105D3">
        <w:rPr>
          <w:rFonts w:hint="eastAsia"/>
          <w:b/>
          <w:bCs/>
        </w:rPr>
        <w:t>is</w:t>
      </w:r>
      <w:r w:rsidRPr="008105D3">
        <w:rPr>
          <w:b/>
          <w:bCs/>
        </w:rPr>
        <w:t xml:space="preserve"> applied to all relevant SSBs</w:t>
      </w:r>
      <w:r w:rsidR="008105D3" w:rsidRPr="008105D3">
        <w:rPr>
          <w:rFonts w:hint="eastAsia"/>
          <w:b/>
          <w:bCs/>
        </w:rPr>
        <w:t xml:space="preserve"> in the </w:t>
      </w:r>
      <w:proofErr w:type="spellStart"/>
      <w:r w:rsidR="008105D3" w:rsidRPr="008105D3">
        <w:rPr>
          <w:rFonts w:hint="eastAsia"/>
          <w:b/>
          <w:bCs/>
        </w:rPr>
        <w:t>SCell</w:t>
      </w:r>
      <w:proofErr w:type="spellEnd"/>
      <w:r w:rsidRPr="008105D3">
        <w:rPr>
          <w:b/>
          <w:bCs/>
        </w:rPr>
        <w:t>, regardless of which DL BWP is currently active.</w:t>
      </w:r>
    </w:p>
    <w:p w14:paraId="191E80A4" w14:textId="6FDD1B06" w:rsidR="004771E5" w:rsidRPr="004771E5" w:rsidRDefault="004771E5" w:rsidP="00660113">
      <w:pPr>
        <w:rPr>
          <w:rFonts w:hint="eastAsia"/>
          <w:lang w:val="en-US"/>
        </w:rPr>
      </w:pPr>
      <w:r>
        <w:rPr>
          <w:rFonts w:hint="eastAsia"/>
          <w:b/>
          <w:bCs/>
        </w:rPr>
        <w:t xml:space="preserve">Proposal 2: If </w:t>
      </w:r>
      <w:r w:rsidRPr="004771E5">
        <w:rPr>
          <w:rFonts w:hint="eastAsia"/>
          <w:b/>
          <w:bCs/>
        </w:rPr>
        <w:t xml:space="preserve">combined with the OD-SSB feature, </w:t>
      </w:r>
      <w:r w:rsidRPr="004771E5">
        <w:rPr>
          <w:b/>
          <w:bCs/>
        </w:rPr>
        <w:t xml:space="preserve">the SSB periodicity adaptation </w:t>
      </w:r>
      <w:r w:rsidRPr="004771E5">
        <w:rPr>
          <w:rFonts w:hint="eastAsia"/>
          <w:b/>
          <w:bCs/>
        </w:rPr>
        <w:t>can be applied</w:t>
      </w:r>
      <w:r w:rsidRPr="004771E5">
        <w:rPr>
          <w:b/>
          <w:bCs/>
        </w:rPr>
        <w:t xml:space="preserve"> </w:t>
      </w:r>
      <w:r w:rsidRPr="004771E5">
        <w:rPr>
          <w:rFonts w:hint="eastAsia"/>
          <w:b/>
          <w:bCs/>
        </w:rPr>
        <w:t>only</w:t>
      </w:r>
      <w:r w:rsidRPr="004771E5">
        <w:rPr>
          <w:b/>
          <w:bCs/>
        </w:rPr>
        <w:t xml:space="preserve"> to the AO-SSB</w:t>
      </w:r>
      <w:r w:rsidRPr="004771E5">
        <w:rPr>
          <w:rFonts w:hint="eastAsia"/>
          <w:b/>
          <w:bCs/>
        </w:rPr>
        <w:t>.</w:t>
      </w:r>
    </w:p>
    <w:p w14:paraId="01A78050" w14:textId="77777777" w:rsidR="00291C2F" w:rsidRPr="008B527E" w:rsidRDefault="00291C2F" w:rsidP="00291C2F"/>
    <w:p w14:paraId="11F22ED1" w14:textId="5B577BBC" w:rsidR="00291C2F" w:rsidRPr="003F3363" w:rsidRDefault="00291C2F" w:rsidP="00291C2F">
      <w:pPr>
        <w:pStyle w:val="1"/>
      </w:pPr>
      <w:r>
        <w:rPr>
          <w:lang w:eastAsia="ko-KR"/>
        </w:rPr>
        <w:t xml:space="preserve">Discussion </w:t>
      </w:r>
      <w:r>
        <w:rPr>
          <w:rFonts w:hint="eastAsia"/>
          <w:lang w:eastAsia="ko-KR"/>
        </w:rPr>
        <w:t>on</w:t>
      </w:r>
      <w:r>
        <w:rPr>
          <w:lang w:eastAsia="ko-KR"/>
        </w:rPr>
        <w:t xml:space="preserve"> PRACH time domain adaptation</w:t>
      </w:r>
    </w:p>
    <w:p w14:paraId="3E205E1B" w14:textId="2FC1E988" w:rsidR="00291C2F" w:rsidRPr="00291C2F" w:rsidRDefault="00291C2F" w:rsidP="00291C2F">
      <w:pPr>
        <w:rPr>
          <w:b/>
          <w:u w:val="single"/>
        </w:rPr>
      </w:pPr>
      <w:r>
        <w:rPr>
          <w:b/>
          <w:highlight w:val="cyan"/>
          <w:u w:val="single"/>
        </w:rPr>
        <w:t>PRACH retransmission</w:t>
      </w:r>
    </w:p>
    <w:p w14:paraId="065FC738" w14:textId="2C21AE68" w:rsidR="00D93830" w:rsidRPr="00D93830" w:rsidRDefault="00D93830" w:rsidP="00D93830">
      <w:pPr>
        <w:rPr>
          <w:lang w:val="en-US"/>
        </w:rPr>
      </w:pPr>
      <w:r w:rsidRPr="00D93830">
        <w:rPr>
          <w:lang w:val="en-US"/>
        </w:rPr>
        <w:t xml:space="preserve">When a UE fails to receive a </w:t>
      </w:r>
      <w:r>
        <w:rPr>
          <w:rFonts w:hint="eastAsia"/>
          <w:lang w:val="en-US"/>
        </w:rPr>
        <w:t>RAR</w:t>
      </w:r>
      <w:r w:rsidRPr="00D93830">
        <w:rPr>
          <w:lang w:val="en-US"/>
        </w:rPr>
        <w:t xml:space="preserve"> corresponding to Msg1, it initiates a retransmission of the RA preamble. In such cases, it </w:t>
      </w:r>
      <w:r>
        <w:rPr>
          <w:rFonts w:hint="eastAsia"/>
          <w:lang w:val="en-US"/>
        </w:rPr>
        <w:t>needs to</w:t>
      </w:r>
      <w:r w:rsidRPr="00D93830">
        <w:rPr>
          <w:lang w:val="en-US"/>
        </w:rPr>
        <w:t xml:space="preserve"> be determined whether the UE is allowed to switch PRACH resources—specifically, between legacy and additional PRACH resources—or whether it </w:t>
      </w:r>
      <w:r>
        <w:rPr>
          <w:rFonts w:hint="eastAsia"/>
          <w:lang w:val="en-US"/>
        </w:rPr>
        <w:t>should</w:t>
      </w:r>
      <w:r w:rsidRPr="00D93830">
        <w:rPr>
          <w:lang w:val="en-US"/>
        </w:rPr>
        <w:t xml:space="preserve"> reuse the same resources as in the initial transmission.</w:t>
      </w:r>
    </w:p>
    <w:p w14:paraId="42836DCA" w14:textId="3A3CC9B4" w:rsidR="00D93830" w:rsidRDefault="00D93830" w:rsidP="00D93830">
      <w:r w:rsidRPr="00D93830">
        <w:rPr>
          <w:lang w:val="en-US"/>
        </w:rPr>
        <w:t xml:space="preserve">From our perspective, allowing such switching offers practical benefits, particularly in scenarios where additional PRACH resources are dynamically activated or deactivated. This flexibility improves </w:t>
      </w:r>
      <w:r>
        <w:rPr>
          <w:rFonts w:hint="eastAsia"/>
          <w:lang w:val="en-US"/>
        </w:rPr>
        <w:t xml:space="preserve">RACH </w:t>
      </w:r>
      <w:r w:rsidRPr="00D93830">
        <w:rPr>
          <w:lang w:val="en-US"/>
        </w:rPr>
        <w:t xml:space="preserve">resource utilization and </w:t>
      </w:r>
      <w:r w:rsidR="000106AB">
        <w:rPr>
          <w:rFonts w:hint="eastAsia"/>
          <w:lang w:val="en-US"/>
        </w:rPr>
        <w:t xml:space="preserve">reduces </w:t>
      </w:r>
      <w:r>
        <w:rPr>
          <w:rFonts w:hint="eastAsia"/>
          <w:lang w:val="en-US"/>
        </w:rPr>
        <w:t>the random access latency</w:t>
      </w:r>
      <w:r w:rsidRPr="00D93830">
        <w:rPr>
          <w:lang w:val="en-US"/>
        </w:rPr>
        <w:t>.</w:t>
      </w:r>
      <w:r>
        <w:rPr>
          <w:rFonts w:hint="eastAsia"/>
          <w:lang w:val="en-US"/>
        </w:rPr>
        <w:t xml:space="preserve"> </w:t>
      </w:r>
      <w:r w:rsidR="000106AB" w:rsidRPr="000106AB">
        <w:t>The power ramping procedure can remain consistent when the UE switches PRACH resources between the initial transmission and the retransmission (i.e., the power ramping counter does not need to be reset).</w:t>
      </w:r>
    </w:p>
    <w:p w14:paraId="4FD4178E" w14:textId="32574A7F" w:rsidR="000106AB" w:rsidRDefault="000106AB" w:rsidP="00D93830">
      <w:pPr>
        <w:rPr>
          <w:b/>
          <w:bCs/>
          <w:lang w:val="en-US"/>
        </w:rPr>
      </w:pPr>
      <w:r w:rsidRPr="000106AB">
        <w:rPr>
          <w:b/>
          <w:bCs/>
          <w:lang w:val="en-US"/>
        </w:rPr>
        <w:t xml:space="preserve">Proposal </w:t>
      </w:r>
      <w:r w:rsidR="004771E5">
        <w:rPr>
          <w:rFonts w:hint="eastAsia"/>
          <w:b/>
          <w:bCs/>
          <w:lang w:val="en-US"/>
        </w:rPr>
        <w:t>3</w:t>
      </w:r>
      <w:r w:rsidRPr="000106AB">
        <w:rPr>
          <w:b/>
          <w:bCs/>
          <w:lang w:val="en-US"/>
        </w:rPr>
        <w:t>: Allow UE to switch between legacy and additional PRACH resources across the initial PRACH transmission and its retransmission.</w:t>
      </w:r>
    </w:p>
    <w:p w14:paraId="51635F0F" w14:textId="5BDFE774" w:rsidR="000106AB" w:rsidRPr="00D93830" w:rsidRDefault="000106AB" w:rsidP="00D93830">
      <w:pPr>
        <w:rPr>
          <w:b/>
          <w:bCs/>
          <w:lang w:val="en-US"/>
        </w:rPr>
      </w:pPr>
      <w:r>
        <w:rPr>
          <w:rFonts w:hint="eastAsia"/>
          <w:b/>
          <w:bCs/>
          <w:lang w:val="en-US"/>
        </w:rPr>
        <w:t xml:space="preserve">Proposal </w:t>
      </w:r>
      <w:r w:rsidR="004771E5">
        <w:rPr>
          <w:rFonts w:hint="eastAsia"/>
          <w:b/>
          <w:bCs/>
          <w:lang w:val="en-US"/>
        </w:rPr>
        <w:t>4</w:t>
      </w:r>
      <w:r>
        <w:rPr>
          <w:rFonts w:hint="eastAsia"/>
          <w:b/>
          <w:bCs/>
          <w:lang w:val="en-US"/>
        </w:rPr>
        <w:t>: P</w:t>
      </w:r>
      <w:r w:rsidRPr="000106AB">
        <w:rPr>
          <w:b/>
          <w:bCs/>
          <w:lang w:val="en-US"/>
        </w:rPr>
        <w:t>ower ramping procedure remain</w:t>
      </w:r>
      <w:r>
        <w:rPr>
          <w:rFonts w:hint="eastAsia"/>
          <w:b/>
          <w:bCs/>
          <w:lang w:val="en-US"/>
        </w:rPr>
        <w:t>s</w:t>
      </w:r>
      <w:r w:rsidRPr="000106AB">
        <w:rPr>
          <w:b/>
          <w:bCs/>
          <w:lang w:val="en-US"/>
        </w:rPr>
        <w:t xml:space="preserve"> consistent when UE switches PRACH resources between the initial transmission and the retransmission (i.e., the power ramping counter </w:t>
      </w:r>
      <w:r>
        <w:rPr>
          <w:rFonts w:hint="eastAsia"/>
          <w:b/>
          <w:bCs/>
          <w:lang w:val="en-US"/>
        </w:rPr>
        <w:t>is not</w:t>
      </w:r>
      <w:r w:rsidRPr="000106AB">
        <w:rPr>
          <w:b/>
          <w:bCs/>
          <w:lang w:val="en-US"/>
        </w:rPr>
        <w:t xml:space="preserve"> reset).</w:t>
      </w:r>
    </w:p>
    <w:p w14:paraId="0CA51046" w14:textId="77777777" w:rsidR="00953095" w:rsidRDefault="00953095" w:rsidP="00C02370">
      <w:pPr>
        <w:rPr>
          <w:lang w:val="en-US"/>
        </w:rPr>
      </w:pPr>
    </w:p>
    <w:p w14:paraId="21215C45" w14:textId="77777777" w:rsidR="00B43249" w:rsidRPr="00291C2F" w:rsidRDefault="00B43249" w:rsidP="00B43249">
      <w:pPr>
        <w:rPr>
          <w:b/>
          <w:u w:val="single"/>
        </w:rPr>
      </w:pPr>
      <w:r>
        <w:rPr>
          <w:b/>
          <w:highlight w:val="cyan"/>
          <w:u w:val="single"/>
        </w:rPr>
        <w:t>RAR reception</w:t>
      </w:r>
    </w:p>
    <w:p w14:paraId="17DD817C" w14:textId="1A7F3080" w:rsidR="00B43249" w:rsidRDefault="001B163E" w:rsidP="00B43249">
      <w:r w:rsidRPr="001B163E">
        <w:t>For the case where the legacy ROs and the additional ROs are FDM-ed, the following was agreed to guarantee that the total number of FDM-ed ROs does not exceed 8</w:t>
      </w:r>
      <w:r w:rsidR="00B43249" w:rsidRPr="001B163E">
        <w:t>.</w:t>
      </w:r>
    </w:p>
    <w:tbl>
      <w:tblPr>
        <w:tblStyle w:val="a9"/>
        <w:tblW w:w="0" w:type="auto"/>
        <w:tblLook w:val="04A0" w:firstRow="1" w:lastRow="0" w:firstColumn="1" w:lastColumn="0" w:noHBand="0" w:noVBand="1"/>
      </w:tblPr>
      <w:tblGrid>
        <w:gridCol w:w="9288"/>
      </w:tblGrid>
      <w:tr w:rsidR="00B43249" w14:paraId="7CD4023D" w14:textId="77777777" w:rsidTr="003177A0">
        <w:tc>
          <w:tcPr>
            <w:tcW w:w="9288" w:type="dxa"/>
          </w:tcPr>
          <w:p w14:paraId="27BD314A" w14:textId="77777777" w:rsidR="00B43249" w:rsidRPr="00912705" w:rsidRDefault="00B43249" w:rsidP="003177A0">
            <w:pPr>
              <w:snapToGrid w:val="0"/>
              <w:spacing w:after="0"/>
              <w:rPr>
                <w:b/>
                <w:bCs/>
                <w:lang w:eastAsia="x-none"/>
              </w:rPr>
            </w:pPr>
            <w:r w:rsidRPr="00912705">
              <w:rPr>
                <w:b/>
                <w:bCs/>
                <w:highlight w:val="green"/>
                <w:lang w:eastAsia="x-none"/>
              </w:rPr>
              <w:lastRenderedPageBreak/>
              <w:t>Agreement</w:t>
            </w:r>
          </w:p>
          <w:p w14:paraId="2018A30D" w14:textId="77777777" w:rsidR="00B43249" w:rsidRPr="00912705" w:rsidRDefault="00B43249" w:rsidP="003177A0">
            <w:pPr>
              <w:pStyle w:val="a4"/>
              <w:widowControl/>
              <w:numPr>
                <w:ilvl w:val="0"/>
                <w:numId w:val="6"/>
              </w:numPr>
              <w:autoSpaceDE/>
              <w:autoSpaceDN/>
              <w:snapToGrid w:val="0"/>
              <w:spacing w:after="0"/>
              <w:ind w:leftChars="0"/>
              <w:jc w:val="left"/>
            </w:pPr>
            <w:r w:rsidRPr="00912705">
              <w:t>Separate configuration of Msg1-FDM for the additional PRACH resources at least for 4-step RACH is supported</w:t>
            </w:r>
          </w:p>
          <w:p w14:paraId="6C33E1EB" w14:textId="77777777" w:rsidR="00B43249" w:rsidRPr="00912705" w:rsidRDefault="00B43249" w:rsidP="003177A0">
            <w:pPr>
              <w:pStyle w:val="a4"/>
              <w:widowControl/>
              <w:numPr>
                <w:ilvl w:val="1"/>
                <w:numId w:val="6"/>
              </w:numPr>
              <w:autoSpaceDE/>
              <w:autoSpaceDN/>
              <w:snapToGrid w:val="0"/>
              <w:spacing w:after="0"/>
              <w:ind w:leftChars="0"/>
              <w:jc w:val="left"/>
            </w:pPr>
            <w:r w:rsidRPr="00912705">
              <w:t>UE is not expected to be configured such that there are more than 8 FDM-ed valid ROs (legacy + additional ROs)</w:t>
            </w:r>
          </w:p>
          <w:p w14:paraId="1D6ED70E" w14:textId="77777777" w:rsidR="00B43249" w:rsidRPr="00912705" w:rsidRDefault="00B43249" w:rsidP="003177A0">
            <w:pPr>
              <w:pStyle w:val="a4"/>
              <w:widowControl/>
              <w:numPr>
                <w:ilvl w:val="1"/>
                <w:numId w:val="6"/>
              </w:numPr>
              <w:autoSpaceDE/>
              <w:autoSpaceDN/>
              <w:snapToGrid w:val="0"/>
              <w:spacing w:after="0"/>
              <w:ind w:leftChars="0"/>
              <w:jc w:val="left"/>
            </w:pPr>
            <w:r w:rsidRPr="00912705">
              <w:t>FFS: When there is no configuration of Msg1-FDM</w:t>
            </w:r>
          </w:p>
          <w:p w14:paraId="403CF01B" w14:textId="77777777" w:rsidR="00B43249" w:rsidRPr="003A17D0" w:rsidRDefault="00B43249" w:rsidP="003177A0">
            <w:pPr>
              <w:pStyle w:val="a4"/>
              <w:widowControl/>
              <w:numPr>
                <w:ilvl w:val="0"/>
                <w:numId w:val="6"/>
              </w:numPr>
              <w:autoSpaceDE/>
              <w:autoSpaceDN/>
              <w:snapToGrid w:val="0"/>
              <w:spacing w:after="0"/>
              <w:ind w:leftChars="0"/>
              <w:jc w:val="left"/>
            </w:pPr>
            <w:r w:rsidRPr="00912705">
              <w:t>Separate configuration of number of SSB per RO is supported</w:t>
            </w:r>
          </w:p>
        </w:tc>
      </w:tr>
    </w:tbl>
    <w:p w14:paraId="6C66D478" w14:textId="1C745CEB" w:rsidR="00B43249" w:rsidRDefault="00B43249" w:rsidP="00B43249"/>
    <w:p w14:paraId="2007BB38" w14:textId="4765CE6C" w:rsidR="001B163E" w:rsidRDefault="001B163E" w:rsidP="00B43249">
      <w:r>
        <w:t>On the other hand, the RA-RNTI equation in current TS 38.321 that UE assumes for Msg2 reception is described as follows</w:t>
      </w:r>
      <w:r>
        <w:rPr>
          <w:rFonts w:hint="eastAsia"/>
        </w:rPr>
        <w:t>:</w:t>
      </w:r>
    </w:p>
    <w:tbl>
      <w:tblPr>
        <w:tblStyle w:val="a9"/>
        <w:tblW w:w="0" w:type="auto"/>
        <w:tblLook w:val="04A0" w:firstRow="1" w:lastRow="0" w:firstColumn="1" w:lastColumn="0" w:noHBand="0" w:noVBand="1"/>
      </w:tblPr>
      <w:tblGrid>
        <w:gridCol w:w="9288"/>
      </w:tblGrid>
      <w:tr w:rsidR="001B163E" w14:paraId="0C956DF9" w14:textId="77777777" w:rsidTr="001B163E">
        <w:tc>
          <w:tcPr>
            <w:tcW w:w="9288" w:type="dxa"/>
          </w:tcPr>
          <w:p w14:paraId="4DE9D151" w14:textId="77777777" w:rsidR="001B163E" w:rsidRPr="003154F4" w:rsidRDefault="001B163E" w:rsidP="001B163E">
            <w:r w:rsidRPr="003154F4">
              <w:t>The RA-RNTI associated with the PRACH occasion in which the Random Access Preamble is transmitted or the RA-RNTI associated with the last valid PRACH occasion in the set of PRACH occasions (as specified in TS 38.213 [6]) for Msg1 repetition, is computed as:</w:t>
            </w:r>
          </w:p>
          <w:p w14:paraId="1E0FEE8A" w14:textId="77777777" w:rsidR="001B163E" w:rsidRPr="003154F4" w:rsidRDefault="001B163E" w:rsidP="001B163E">
            <w:pPr>
              <w:pStyle w:val="EQ"/>
              <w:rPr>
                <w:sz w:val="22"/>
                <w:szCs w:val="22"/>
                <w:lang w:eastAsia="ko-KR"/>
              </w:rPr>
            </w:pPr>
            <w:r w:rsidRPr="003154F4">
              <w:rPr>
                <w:sz w:val="22"/>
                <w:szCs w:val="22"/>
                <w:lang w:eastAsia="ko-KR"/>
              </w:rPr>
              <w:tab/>
              <w:t xml:space="preserve">RA-RNTI = 1 + s_id + 14 × t_id + 14 × 80 × </w:t>
            </w:r>
            <w:r w:rsidRPr="003154F4">
              <w:rPr>
                <w:sz w:val="22"/>
                <w:szCs w:val="22"/>
                <w:highlight w:val="yellow"/>
                <w:lang w:eastAsia="ko-KR"/>
              </w:rPr>
              <w:t>f_id</w:t>
            </w:r>
            <w:r w:rsidRPr="003154F4">
              <w:rPr>
                <w:sz w:val="22"/>
                <w:szCs w:val="22"/>
                <w:lang w:eastAsia="ko-KR"/>
              </w:rPr>
              <w:t xml:space="preserve"> + 14 × 80 × 8 × ul_carrier_id</w:t>
            </w:r>
          </w:p>
          <w:p w14:paraId="66EF7CD9" w14:textId="643EDD00" w:rsidR="001B163E" w:rsidRDefault="001B163E" w:rsidP="001B163E">
            <w:r w:rsidRPr="003154F4">
              <w:t xml:space="preserve">where </w:t>
            </w:r>
            <w:proofErr w:type="spellStart"/>
            <w:r w:rsidRPr="003154F4">
              <w:t>s_id</w:t>
            </w:r>
            <w:proofErr w:type="spellEnd"/>
            <w:r w:rsidRPr="003154F4">
              <w:t xml:space="preserve"> is the index of the first OFDM symbol of the PRACH occasion (0 </w:t>
            </w:r>
            <w:r w:rsidRPr="003154F4">
              <w:rPr>
                <w:noProof/>
              </w:rPr>
              <w:t xml:space="preserve">≤ </w:t>
            </w:r>
            <w:proofErr w:type="spellStart"/>
            <w:r w:rsidRPr="003154F4">
              <w:t>s_id</w:t>
            </w:r>
            <w:proofErr w:type="spellEnd"/>
            <w:r w:rsidRPr="003154F4">
              <w:t xml:space="preserve"> &lt; 14), </w:t>
            </w:r>
            <w:proofErr w:type="spellStart"/>
            <w:r w:rsidRPr="003154F4">
              <w:t>t_id</w:t>
            </w:r>
            <w:proofErr w:type="spellEnd"/>
            <w:r w:rsidRPr="003154F4">
              <w:t xml:space="preserve"> is the index of the first slot of the PRACH occasion in a system frame (0 </w:t>
            </w:r>
            <w:r w:rsidRPr="003154F4">
              <w:rPr>
                <w:noProof/>
              </w:rPr>
              <w:t>≤</w:t>
            </w:r>
            <w:r w:rsidRPr="003154F4">
              <w:t xml:space="preserve"> </w:t>
            </w:r>
            <w:proofErr w:type="spellStart"/>
            <w:r w:rsidRPr="003154F4">
              <w:t>t_id</w:t>
            </w:r>
            <w:proofErr w:type="spellEnd"/>
            <w:r w:rsidRPr="003154F4">
              <w:t xml:space="preserve"> &lt; 80), where the subcarrier spacing to determine </w:t>
            </w:r>
            <w:proofErr w:type="spellStart"/>
            <w:r w:rsidRPr="003154F4">
              <w:t>t_id</w:t>
            </w:r>
            <w:proofErr w:type="spellEnd"/>
            <w:r w:rsidRPr="003154F4">
              <w:t xml:space="preserve"> is based on the value of μ specified in clause 5.3.2 in TS 38.211 [8] for μ = {0, 1, 2, 3}, and for μ = {5, 6}, </w:t>
            </w:r>
            <w:proofErr w:type="spellStart"/>
            <w:r w:rsidRPr="003154F4">
              <w:t>t_id</w:t>
            </w:r>
            <w:proofErr w:type="spellEnd"/>
            <w:r w:rsidRPr="003154F4">
              <w:t xml:space="preserve"> is the index of the 120 kHz slot in a system frame that contains the PRACH occasion (0 </w:t>
            </w:r>
            <w:r w:rsidRPr="003154F4">
              <w:rPr>
                <w:noProof/>
              </w:rPr>
              <w:t>≤</w:t>
            </w:r>
            <w:r w:rsidRPr="003154F4">
              <w:t xml:space="preserve"> </w:t>
            </w:r>
            <w:proofErr w:type="spellStart"/>
            <w:r w:rsidRPr="003154F4">
              <w:t>t_id</w:t>
            </w:r>
            <w:proofErr w:type="spellEnd"/>
            <w:r w:rsidRPr="003154F4">
              <w:t xml:space="preserve"> &lt; 80), </w:t>
            </w:r>
            <w:proofErr w:type="spellStart"/>
            <w:r w:rsidRPr="003154F4">
              <w:rPr>
                <w:highlight w:val="yellow"/>
              </w:rPr>
              <w:t>f_id</w:t>
            </w:r>
            <w:proofErr w:type="spellEnd"/>
            <w:r w:rsidRPr="003154F4">
              <w:rPr>
                <w:highlight w:val="yellow"/>
              </w:rPr>
              <w:t xml:space="preserve"> is the index of the PRACH occasion in the frequency domain (0 </w:t>
            </w:r>
            <w:r w:rsidRPr="003154F4">
              <w:rPr>
                <w:noProof/>
                <w:highlight w:val="yellow"/>
              </w:rPr>
              <w:t>≤</w:t>
            </w:r>
            <w:r w:rsidRPr="003154F4">
              <w:rPr>
                <w:highlight w:val="yellow"/>
              </w:rPr>
              <w:t xml:space="preserve"> </w:t>
            </w:r>
            <w:proofErr w:type="spellStart"/>
            <w:r w:rsidRPr="003154F4">
              <w:rPr>
                <w:highlight w:val="yellow"/>
              </w:rPr>
              <w:t>f_id</w:t>
            </w:r>
            <w:proofErr w:type="spellEnd"/>
            <w:r w:rsidRPr="003154F4">
              <w:rPr>
                <w:highlight w:val="yellow"/>
              </w:rPr>
              <w:t xml:space="preserve"> &lt; 8)</w:t>
            </w:r>
            <w:r w:rsidRPr="003154F4">
              <w:t xml:space="preserve">, and </w:t>
            </w:r>
            <w:proofErr w:type="spellStart"/>
            <w:r w:rsidRPr="003154F4">
              <w:t>ul_carrier_id</w:t>
            </w:r>
            <w:proofErr w:type="spellEnd"/>
            <w:r w:rsidRPr="003154F4">
              <w:t xml:space="preserve"> is the UL carrier used for Random Access Preamble transmission (0 for NUL carrier, and 1 for SUL carrier).</w:t>
            </w:r>
          </w:p>
        </w:tc>
      </w:tr>
    </w:tbl>
    <w:p w14:paraId="2F9CD6F0" w14:textId="211F8694" w:rsidR="001B163E" w:rsidRDefault="001B163E" w:rsidP="00B43249"/>
    <w:p w14:paraId="7E8B8722" w14:textId="5F28B0DB" w:rsidR="0012180D" w:rsidRDefault="008D2A74" w:rsidP="008D2A74">
      <w:r>
        <w:t xml:space="preserve">If a legacy RO and an additional RO are FDM-ed while occupying the same set of symbols, UE needs to distinguish between the two ROs using </w:t>
      </w:r>
      <w:proofErr w:type="spellStart"/>
      <w:r>
        <w:t>f_id</w:t>
      </w:r>
      <w:proofErr w:type="spellEnd"/>
      <w:r>
        <w:t xml:space="preserve">, as </w:t>
      </w:r>
      <w:proofErr w:type="spellStart"/>
      <w:r>
        <w:t>s_id</w:t>
      </w:r>
      <w:proofErr w:type="spellEnd"/>
      <w:r>
        <w:t xml:space="preserve"> and </w:t>
      </w:r>
      <w:proofErr w:type="spellStart"/>
      <w:r>
        <w:t>t_id</w:t>
      </w:r>
      <w:proofErr w:type="spellEnd"/>
      <w:r>
        <w:t xml:space="preserve"> are not applicable. However, since the current definition of </w:t>
      </w:r>
      <w:proofErr w:type="spellStart"/>
      <w:r>
        <w:t>f_id</w:t>
      </w:r>
      <w:proofErr w:type="spellEnd"/>
      <w:r>
        <w:t xml:space="preserve"> does not account for multiple PRACH configurations, there may be ambiguity in its interpretation</w:t>
      </w:r>
      <w:r w:rsidR="0012180D">
        <w:t xml:space="preserve">. </w:t>
      </w:r>
      <w:r w:rsidR="00A95DD8">
        <w:t>Beyond merely resolving this potential ambiguity,</w:t>
      </w:r>
      <w:r w:rsidR="0012180D">
        <w:t xml:space="preserve"> </w:t>
      </w:r>
      <w:r w:rsidR="00A95DD8">
        <w:t>from a</w:t>
      </w:r>
      <w:r w:rsidR="0012180D">
        <w:t xml:space="preserve"> broader perspective, </w:t>
      </w:r>
      <w:r w:rsidR="00A95DD8">
        <w:t>the following options can be considered</w:t>
      </w:r>
      <w:r w:rsidR="00861AFB">
        <w:t xml:space="preserve"> for indexing of </w:t>
      </w:r>
      <w:proofErr w:type="spellStart"/>
      <w:r w:rsidR="00861AFB">
        <w:t>f_id</w:t>
      </w:r>
      <w:proofErr w:type="spellEnd"/>
      <w:r w:rsidR="00A95DD8">
        <w:t>:</w:t>
      </w:r>
    </w:p>
    <w:p w14:paraId="60C827A2" w14:textId="73D18B92" w:rsidR="00A95DD8" w:rsidRPr="0012180D" w:rsidRDefault="00A95DD8" w:rsidP="00A95DD8">
      <w:pPr>
        <w:pStyle w:val="a4"/>
        <w:numPr>
          <w:ilvl w:val="0"/>
          <w:numId w:val="35"/>
        </w:numPr>
        <w:ind w:leftChars="0"/>
      </w:pPr>
      <w:r w:rsidRPr="000106AB">
        <w:rPr>
          <w:b/>
          <w:bCs/>
        </w:rPr>
        <w:t>Alt</w:t>
      </w:r>
      <w:r w:rsidR="000106AB" w:rsidRPr="000106AB">
        <w:rPr>
          <w:rFonts w:hint="eastAsia"/>
          <w:b/>
          <w:bCs/>
        </w:rPr>
        <w:t>ernative</w:t>
      </w:r>
      <w:r w:rsidRPr="000106AB">
        <w:rPr>
          <w:b/>
          <w:bCs/>
        </w:rPr>
        <w:t xml:space="preserve"> 1</w:t>
      </w:r>
      <w:r>
        <w:t xml:space="preserve">: </w:t>
      </w:r>
      <w:r w:rsidR="000106AB">
        <w:rPr>
          <w:rFonts w:hint="eastAsia"/>
        </w:rPr>
        <w:t>I</w:t>
      </w:r>
      <w:r>
        <w:t xml:space="preserve">ndexing based on mapping order in the frequency domain (Figure </w:t>
      </w:r>
      <w:r w:rsidR="00471A35">
        <w:rPr>
          <w:rFonts w:hint="eastAsia"/>
        </w:rPr>
        <w:t>2</w:t>
      </w:r>
      <w:r>
        <w:t>(a))</w:t>
      </w:r>
    </w:p>
    <w:p w14:paraId="33A7D8E4" w14:textId="0AF06266" w:rsidR="008D2A74" w:rsidRPr="0012180D" w:rsidRDefault="008D2A74" w:rsidP="0012180D">
      <w:pPr>
        <w:pStyle w:val="a4"/>
        <w:numPr>
          <w:ilvl w:val="0"/>
          <w:numId w:val="35"/>
        </w:numPr>
        <w:ind w:leftChars="0"/>
      </w:pPr>
      <w:r w:rsidRPr="000106AB">
        <w:rPr>
          <w:b/>
          <w:bCs/>
        </w:rPr>
        <w:t>Alt</w:t>
      </w:r>
      <w:r w:rsidR="000106AB" w:rsidRPr="000106AB">
        <w:rPr>
          <w:rFonts w:hint="eastAsia"/>
          <w:b/>
          <w:bCs/>
        </w:rPr>
        <w:t>ernative</w:t>
      </w:r>
      <w:r w:rsidRPr="000106AB">
        <w:rPr>
          <w:b/>
          <w:bCs/>
        </w:rPr>
        <w:t xml:space="preserve"> </w:t>
      </w:r>
      <w:r w:rsidR="00A95DD8" w:rsidRPr="000106AB">
        <w:rPr>
          <w:b/>
          <w:bCs/>
        </w:rPr>
        <w:t>2</w:t>
      </w:r>
      <w:r>
        <w:t xml:space="preserve">: </w:t>
      </w:r>
      <w:r w:rsidR="000106AB">
        <w:rPr>
          <w:rFonts w:hint="eastAsia"/>
        </w:rPr>
        <w:t>L</w:t>
      </w:r>
      <w:r>
        <w:t>ocal indexing within each PRACH configuration</w:t>
      </w:r>
      <w:r w:rsidR="0012180D">
        <w:t xml:space="preserve"> (Figure </w:t>
      </w:r>
      <w:r w:rsidR="00471A35">
        <w:rPr>
          <w:rFonts w:hint="eastAsia"/>
        </w:rPr>
        <w:t>2</w:t>
      </w:r>
      <w:r w:rsidR="0012180D">
        <w:t>(</w:t>
      </w:r>
      <w:r w:rsidR="00A95DD8">
        <w:t>b</w:t>
      </w:r>
      <w:r w:rsidR="0012180D">
        <w:t>))</w:t>
      </w:r>
    </w:p>
    <w:p w14:paraId="48D5DF17" w14:textId="22F05634" w:rsidR="008D2A74" w:rsidRDefault="008D2A74" w:rsidP="0012180D">
      <w:pPr>
        <w:pStyle w:val="a4"/>
        <w:numPr>
          <w:ilvl w:val="0"/>
          <w:numId w:val="35"/>
        </w:numPr>
        <w:ind w:leftChars="0"/>
      </w:pPr>
      <w:r w:rsidRPr="000106AB">
        <w:rPr>
          <w:b/>
          <w:bCs/>
        </w:rPr>
        <w:t>Alt</w:t>
      </w:r>
      <w:r w:rsidR="000106AB" w:rsidRPr="000106AB">
        <w:rPr>
          <w:rFonts w:hint="eastAsia"/>
          <w:b/>
          <w:bCs/>
        </w:rPr>
        <w:t>ernative</w:t>
      </w:r>
      <w:r w:rsidRPr="000106AB">
        <w:rPr>
          <w:b/>
          <w:bCs/>
        </w:rPr>
        <w:t xml:space="preserve"> 3</w:t>
      </w:r>
      <w:r>
        <w:t xml:space="preserve">: </w:t>
      </w:r>
      <w:r w:rsidR="000106AB">
        <w:rPr>
          <w:rFonts w:hint="eastAsia"/>
        </w:rPr>
        <w:t>I</w:t>
      </w:r>
      <w:r>
        <w:t>ndexing over legacy ROs first, followed by additional ROs</w:t>
      </w:r>
      <w:r w:rsidR="0012180D">
        <w:t xml:space="preserve"> (Figure </w:t>
      </w:r>
      <w:r w:rsidR="00471A35">
        <w:rPr>
          <w:rFonts w:hint="eastAsia"/>
        </w:rPr>
        <w:t>2</w:t>
      </w:r>
      <w:r w:rsidR="0012180D">
        <w:t>(c))</w:t>
      </w:r>
    </w:p>
    <w:p w14:paraId="5FC21AB5" w14:textId="4C581734" w:rsidR="005276CE" w:rsidRPr="005276CE" w:rsidRDefault="005276CE" w:rsidP="005276CE">
      <w:pPr>
        <w:rPr>
          <w:lang w:val="en-US"/>
        </w:rPr>
      </w:pPr>
      <w:r w:rsidRPr="005276CE">
        <w:rPr>
          <w:lang w:val="en-US"/>
        </w:rPr>
        <w:t xml:space="preserve">The current description of </w:t>
      </w:r>
      <w:proofErr w:type="spellStart"/>
      <w:r w:rsidRPr="005276CE">
        <w:rPr>
          <w:lang w:val="en-US"/>
        </w:rPr>
        <w:t>f_id</w:t>
      </w:r>
      <w:proofErr w:type="spellEnd"/>
      <w:r w:rsidRPr="005276CE">
        <w:rPr>
          <w:lang w:val="en-US"/>
        </w:rPr>
        <w:t xml:space="preserve"> </w:t>
      </w:r>
      <w:r w:rsidR="000106AB">
        <w:rPr>
          <w:rFonts w:hint="eastAsia"/>
          <w:lang w:val="en-US"/>
        </w:rPr>
        <w:t>may</w:t>
      </w:r>
      <w:r w:rsidRPr="005276CE">
        <w:rPr>
          <w:lang w:val="en-US"/>
        </w:rPr>
        <w:t xml:space="preserve"> be interpreted as either Alt</w:t>
      </w:r>
      <w:r w:rsidR="000106AB">
        <w:rPr>
          <w:rFonts w:hint="eastAsia"/>
          <w:lang w:val="en-US"/>
        </w:rPr>
        <w:t>ernative</w:t>
      </w:r>
      <w:r w:rsidRPr="005276CE">
        <w:rPr>
          <w:lang w:val="en-US"/>
        </w:rPr>
        <w:t xml:space="preserve"> 1 or Alt</w:t>
      </w:r>
      <w:r w:rsidR="000106AB">
        <w:rPr>
          <w:rFonts w:hint="eastAsia"/>
          <w:lang w:val="en-US"/>
        </w:rPr>
        <w:t>ernative</w:t>
      </w:r>
      <w:r w:rsidRPr="005276CE">
        <w:rPr>
          <w:lang w:val="en-US"/>
        </w:rPr>
        <w:t xml:space="preserve"> 2 (though it seems closer to Alt</w:t>
      </w:r>
      <w:r w:rsidR="000106AB">
        <w:rPr>
          <w:rFonts w:hint="eastAsia"/>
          <w:lang w:val="en-US"/>
        </w:rPr>
        <w:t>ernative</w:t>
      </w:r>
      <w:r w:rsidRPr="005276CE">
        <w:rPr>
          <w:lang w:val="en-US"/>
        </w:rPr>
        <w:t xml:space="preserve"> 1). However</w:t>
      </w:r>
      <w:r w:rsidR="000106AB">
        <w:rPr>
          <w:rFonts w:hint="eastAsia"/>
          <w:lang w:val="en-US"/>
        </w:rPr>
        <w:t>,</w:t>
      </w:r>
      <w:r w:rsidRPr="005276CE">
        <w:rPr>
          <w:lang w:val="en-US"/>
        </w:rPr>
        <w:t xml:space="preserve"> neither Alt</w:t>
      </w:r>
      <w:r w:rsidR="000106AB">
        <w:rPr>
          <w:rFonts w:hint="eastAsia"/>
          <w:lang w:val="en-US"/>
        </w:rPr>
        <w:t>ernative</w:t>
      </w:r>
      <w:r w:rsidRPr="005276CE">
        <w:rPr>
          <w:lang w:val="en-US"/>
        </w:rPr>
        <w:t xml:space="preserve"> 1 nor Alt</w:t>
      </w:r>
      <w:r w:rsidR="000106AB">
        <w:rPr>
          <w:rFonts w:hint="eastAsia"/>
          <w:lang w:val="en-US"/>
        </w:rPr>
        <w:t>ernative</w:t>
      </w:r>
      <w:r w:rsidRPr="005276CE">
        <w:rPr>
          <w:lang w:val="en-US"/>
        </w:rPr>
        <w:t xml:space="preserve"> 2 </w:t>
      </w:r>
      <w:r w:rsidR="000106AB">
        <w:rPr>
          <w:rFonts w:hint="eastAsia"/>
          <w:lang w:val="en-US"/>
        </w:rPr>
        <w:t>seems</w:t>
      </w:r>
      <w:r w:rsidRPr="005276CE">
        <w:rPr>
          <w:lang w:val="en-US"/>
        </w:rPr>
        <w:t xml:space="preserve"> a suitable option for </w:t>
      </w:r>
      <w:r>
        <w:rPr>
          <w:lang w:val="en-US"/>
        </w:rPr>
        <w:t xml:space="preserve">the Rel-19 </w:t>
      </w:r>
      <w:r w:rsidRPr="005276CE">
        <w:rPr>
          <w:lang w:val="en-US"/>
        </w:rPr>
        <w:t>PRACH adaptation.</w:t>
      </w:r>
    </w:p>
    <w:p w14:paraId="05CCE95E" w14:textId="7642D875" w:rsidR="00B43249" w:rsidRDefault="00B43249" w:rsidP="00C02370"/>
    <w:p w14:paraId="7D76EE6C" w14:textId="33AB40B6" w:rsidR="00867201" w:rsidRDefault="003154F4" w:rsidP="00867201">
      <w:pPr>
        <w:jc w:val="center"/>
      </w:pPr>
      <w:r w:rsidRPr="003154F4">
        <w:rPr>
          <w:noProof/>
        </w:rPr>
        <w:drawing>
          <wp:inline distT="0" distB="0" distL="0" distR="0" wp14:anchorId="4BDE4D13" wp14:editId="56B0734A">
            <wp:extent cx="5105400" cy="154403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4514" cy="1552835"/>
                    </a:xfrm>
                    <a:prstGeom prst="rect">
                      <a:avLst/>
                    </a:prstGeom>
                  </pic:spPr>
                </pic:pic>
              </a:graphicData>
            </a:graphic>
          </wp:inline>
        </w:drawing>
      </w:r>
    </w:p>
    <w:p w14:paraId="34ABAB9D" w14:textId="32FA5307" w:rsidR="00867201" w:rsidRDefault="00867201" w:rsidP="00867201">
      <w:pPr>
        <w:jc w:val="center"/>
      </w:pPr>
      <w:r>
        <w:rPr>
          <w:rFonts w:hint="eastAsia"/>
        </w:rPr>
        <w:t>F</w:t>
      </w:r>
      <w:r>
        <w:t xml:space="preserve">igure </w:t>
      </w:r>
      <w:r w:rsidR="00471A35">
        <w:rPr>
          <w:rFonts w:hint="eastAsia"/>
        </w:rPr>
        <w:t>2</w:t>
      </w:r>
      <w:r>
        <w:t xml:space="preserve">. </w:t>
      </w:r>
      <w:r w:rsidR="00141D2D">
        <w:t xml:space="preserve">Mapping of </w:t>
      </w:r>
      <w:proofErr w:type="spellStart"/>
      <w:r w:rsidR="00FF0745">
        <w:t>f_id</w:t>
      </w:r>
      <w:proofErr w:type="spellEnd"/>
      <w:r w:rsidR="00FF0745">
        <w:t xml:space="preserve"> </w:t>
      </w:r>
      <w:r w:rsidR="00141D2D">
        <w:t>over FDM-ed ROs</w:t>
      </w:r>
    </w:p>
    <w:p w14:paraId="74EA76FA" w14:textId="2138244C" w:rsidR="002D402D" w:rsidRPr="005276CE" w:rsidRDefault="002D402D" w:rsidP="002D402D">
      <w:pPr>
        <w:rPr>
          <w:lang w:val="en-US"/>
        </w:rPr>
      </w:pPr>
      <w:r w:rsidRPr="005276CE">
        <w:rPr>
          <w:lang w:val="en-US"/>
        </w:rPr>
        <w:lastRenderedPageBreak/>
        <w:t>In Al</w:t>
      </w:r>
      <w:r w:rsidR="000106AB">
        <w:rPr>
          <w:rFonts w:hint="eastAsia"/>
          <w:lang w:val="en-US"/>
        </w:rPr>
        <w:t>ternative</w:t>
      </w:r>
      <w:r w:rsidRPr="005276CE">
        <w:rPr>
          <w:lang w:val="en-US"/>
        </w:rPr>
        <w:t xml:space="preserve"> 1, a legacy UE and a Rel-19 UE would assume different </w:t>
      </w:r>
      <w:proofErr w:type="spellStart"/>
      <w:r w:rsidRPr="005276CE">
        <w:rPr>
          <w:lang w:val="en-US"/>
        </w:rPr>
        <w:t>f_id</w:t>
      </w:r>
      <w:proofErr w:type="spellEnd"/>
      <w:r w:rsidRPr="005276CE">
        <w:rPr>
          <w:lang w:val="en-US"/>
        </w:rPr>
        <w:t xml:space="preserve"> values for the same legacy RO. </w:t>
      </w:r>
      <w:r>
        <w:t xml:space="preserve">For example, in Figure </w:t>
      </w:r>
      <w:r w:rsidR="00471A35">
        <w:rPr>
          <w:rFonts w:hint="eastAsia"/>
        </w:rPr>
        <w:t>2</w:t>
      </w:r>
      <w:r>
        <w:t xml:space="preserve">(a), a legacy UE would assume </w:t>
      </w:r>
      <w:proofErr w:type="spellStart"/>
      <w:r>
        <w:t>f_id</w:t>
      </w:r>
      <w:proofErr w:type="spellEnd"/>
      <w:r>
        <w:t xml:space="preserve">=0, 1, whereas a Rel-19 UE would assume </w:t>
      </w:r>
      <w:proofErr w:type="spellStart"/>
      <w:r>
        <w:t>f_id</w:t>
      </w:r>
      <w:proofErr w:type="spellEnd"/>
      <w:r>
        <w:t>=4, 5</w:t>
      </w:r>
      <w:r>
        <w:rPr>
          <w:lang w:val="en-US"/>
        </w:rPr>
        <w:t xml:space="preserve">. </w:t>
      </w:r>
      <w:r w:rsidRPr="005276CE">
        <w:rPr>
          <w:lang w:val="en-US"/>
        </w:rPr>
        <w:t xml:space="preserve">As a result, when </w:t>
      </w:r>
      <w:r>
        <w:rPr>
          <w:lang w:val="en-US"/>
        </w:rPr>
        <w:t>a preamble is detected in</w:t>
      </w:r>
      <w:r w:rsidRPr="005276CE">
        <w:rPr>
          <w:lang w:val="en-US"/>
        </w:rPr>
        <w:t xml:space="preserve"> a legacy RO, it </w:t>
      </w:r>
      <w:r>
        <w:rPr>
          <w:lang w:val="en-US"/>
        </w:rPr>
        <w:t>becomes</w:t>
      </w:r>
      <w:r w:rsidRPr="005276CE">
        <w:rPr>
          <w:lang w:val="en-US"/>
        </w:rPr>
        <w:t xml:space="preserve"> difficult for </w:t>
      </w:r>
      <w:proofErr w:type="spellStart"/>
      <w:r w:rsidRPr="005276CE">
        <w:rPr>
          <w:lang w:val="en-US"/>
        </w:rPr>
        <w:t>gNB</w:t>
      </w:r>
      <w:proofErr w:type="spellEnd"/>
      <w:r w:rsidRPr="005276CE">
        <w:rPr>
          <w:lang w:val="en-US"/>
        </w:rPr>
        <w:t xml:space="preserve"> to determine the </w:t>
      </w:r>
      <w:r w:rsidR="003154F4">
        <w:rPr>
          <w:rFonts w:hint="eastAsia"/>
          <w:lang w:val="en-US"/>
        </w:rPr>
        <w:t xml:space="preserve">correct </w:t>
      </w:r>
      <w:proofErr w:type="spellStart"/>
      <w:r w:rsidRPr="005276CE">
        <w:rPr>
          <w:lang w:val="en-US"/>
        </w:rPr>
        <w:t>f_id</w:t>
      </w:r>
      <w:proofErr w:type="spellEnd"/>
      <w:r w:rsidRPr="005276CE">
        <w:rPr>
          <w:lang w:val="en-US"/>
        </w:rPr>
        <w:t xml:space="preserve">, as it </w:t>
      </w:r>
      <w:r w:rsidR="003154F4">
        <w:rPr>
          <w:rFonts w:hint="eastAsia"/>
          <w:lang w:val="en-US"/>
        </w:rPr>
        <w:t>cannot identify</w:t>
      </w:r>
      <w:r w:rsidRPr="005276CE">
        <w:rPr>
          <w:lang w:val="en-US"/>
        </w:rPr>
        <w:t xml:space="preserve"> which UE transmitted the preamble.</w:t>
      </w:r>
    </w:p>
    <w:p w14:paraId="61E35339" w14:textId="54649B35" w:rsidR="002D402D" w:rsidRPr="005276CE" w:rsidRDefault="002D402D" w:rsidP="002D402D">
      <w:pPr>
        <w:rPr>
          <w:lang w:val="en-US"/>
        </w:rPr>
      </w:pPr>
      <w:r w:rsidRPr="005276CE">
        <w:rPr>
          <w:lang w:val="en-US"/>
        </w:rPr>
        <w:t>In Alt</w:t>
      </w:r>
      <w:r w:rsidR="000106AB">
        <w:rPr>
          <w:rFonts w:hint="eastAsia"/>
          <w:lang w:val="en-US"/>
        </w:rPr>
        <w:t>ernative</w:t>
      </w:r>
      <w:r w:rsidRPr="005276CE">
        <w:rPr>
          <w:lang w:val="en-US"/>
        </w:rPr>
        <w:t xml:space="preserve"> 2, there are pairs of (legacy RO, additional RO) that share the same </w:t>
      </w:r>
      <w:proofErr w:type="spellStart"/>
      <w:r w:rsidRPr="005276CE">
        <w:rPr>
          <w:lang w:val="en-US"/>
        </w:rPr>
        <w:t>f_id</w:t>
      </w:r>
      <w:proofErr w:type="spellEnd"/>
      <w:r>
        <w:rPr>
          <w:lang w:val="en-US"/>
        </w:rPr>
        <w:t xml:space="preserve"> (e.g., </w:t>
      </w:r>
      <w:proofErr w:type="spellStart"/>
      <w:r>
        <w:rPr>
          <w:lang w:val="en-US"/>
        </w:rPr>
        <w:t>f_id</w:t>
      </w:r>
      <w:proofErr w:type="spellEnd"/>
      <w:r>
        <w:rPr>
          <w:lang w:val="en-US"/>
        </w:rPr>
        <w:t>=0, 1)</w:t>
      </w:r>
      <w:r w:rsidRPr="005276CE">
        <w:rPr>
          <w:lang w:val="en-US"/>
        </w:rPr>
        <w:t>. Therefore, if a Rel-19 UE transmits a preamble on an additional RO paired with a legacy RO, it may be unclear whether the received RAR corresponds to the additional RO or the paired legacy RO.</w:t>
      </w:r>
    </w:p>
    <w:p w14:paraId="68FC9C07" w14:textId="51801E46" w:rsidR="002D402D" w:rsidRPr="005276CE" w:rsidRDefault="002D402D" w:rsidP="002D402D">
      <w:pPr>
        <w:rPr>
          <w:lang w:val="en-US"/>
        </w:rPr>
      </w:pPr>
      <w:r w:rsidRPr="005276CE">
        <w:rPr>
          <w:lang w:val="en-US"/>
        </w:rPr>
        <w:t>Alt</w:t>
      </w:r>
      <w:r w:rsidR="000106AB">
        <w:rPr>
          <w:rFonts w:hint="eastAsia"/>
          <w:lang w:val="en-US"/>
        </w:rPr>
        <w:t>ernative</w:t>
      </w:r>
      <w:r w:rsidRPr="005276CE">
        <w:rPr>
          <w:lang w:val="en-US"/>
        </w:rPr>
        <w:t xml:space="preserve"> 3 resolves the issues </w:t>
      </w:r>
      <w:r w:rsidR="003154F4">
        <w:rPr>
          <w:rFonts w:hint="eastAsia"/>
          <w:lang w:val="en-US"/>
        </w:rPr>
        <w:t xml:space="preserve">identified </w:t>
      </w:r>
      <w:r w:rsidRPr="005276CE">
        <w:rPr>
          <w:lang w:val="en-US"/>
        </w:rPr>
        <w:t>in Alt</w:t>
      </w:r>
      <w:r w:rsidR="003154F4">
        <w:rPr>
          <w:rFonts w:hint="eastAsia"/>
          <w:lang w:val="en-US"/>
        </w:rPr>
        <w:t>ernative</w:t>
      </w:r>
      <w:r w:rsidRPr="005276CE">
        <w:rPr>
          <w:lang w:val="en-US"/>
        </w:rPr>
        <w:t xml:space="preserve"> 1 and Alt</w:t>
      </w:r>
      <w:r w:rsidR="003154F4">
        <w:rPr>
          <w:rFonts w:hint="eastAsia"/>
          <w:lang w:val="en-US"/>
        </w:rPr>
        <w:t>ernative</w:t>
      </w:r>
      <w:r w:rsidRPr="005276CE">
        <w:rPr>
          <w:lang w:val="en-US"/>
        </w:rPr>
        <w:t xml:space="preserve"> 2. It preserves the </w:t>
      </w:r>
      <w:proofErr w:type="spellStart"/>
      <w:r w:rsidRPr="005276CE">
        <w:rPr>
          <w:lang w:val="en-US"/>
        </w:rPr>
        <w:t>f_id</w:t>
      </w:r>
      <w:proofErr w:type="spellEnd"/>
      <w:r w:rsidRPr="005276CE">
        <w:rPr>
          <w:lang w:val="en-US"/>
        </w:rPr>
        <w:t xml:space="preserve"> of legacy ROs while ensuring that all FDM-ed ROs </w:t>
      </w:r>
      <w:r w:rsidR="003154F4">
        <w:rPr>
          <w:rFonts w:hint="eastAsia"/>
          <w:lang w:val="en-US"/>
        </w:rPr>
        <w:t>remain</w:t>
      </w:r>
      <w:r w:rsidRPr="005276CE">
        <w:rPr>
          <w:lang w:val="en-US"/>
        </w:rPr>
        <w:t xml:space="preserve"> distinguishable. For this reason, Alt. 3 is preferred. </w:t>
      </w:r>
      <w:r>
        <w:rPr>
          <w:lang w:val="en-US"/>
        </w:rPr>
        <w:t xml:space="preserve">As another possible </w:t>
      </w:r>
      <w:r w:rsidR="003154F4">
        <w:rPr>
          <w:rFonts w:hint="eastAsia"/>
          <w:lang w:val="en-US"/>
        </w:rPr>
        <w:t>solution</w:t>
      </w:r>
      <w:r w:rsidRPr="005276CE">
        <w:rPr>
          <w:lang w:val="en-US"/>
        </w:rPr>
        <w:t xml:space="preserve">, </w:t>
      </w:r>
      <w:r>
        <w:rPr>
          <w:lang w:val="en-US"/>
        </w:rPr>
        <w:t xml:space="preserve">instead of </w:t>
      </w:r>
      <w:r w:rsidR="003154F4">
        <w:rPr>
          <w:rFonts w:hint="eastAsia"/>
          <w:lang w:val="en-US"/>
        </w:rPr>
        <w:t>managing</w:t>
      </w:r>
      <w:r>
        <w:rPr>
          <w:lang w:val="en-US"/>
        </w:rPr>
        <w:t xml:space="preserve"> </w:t>
      </w:r>
      <w:proofErr w:type="spellStart"/>
      <w:r>
        <w:rPr>
          <w:lang w:val="en-US"/>
        </w:rPr>
        <w:t>f_id</w:t>
      </w:r>
      <w:proofErr w:type="spellEnd"/>
      <w:r w:rsidR="003154F4">
        <w:rPr>
          <w:rFonts w:hint="eastAsia"/>
          <w:lang w:val="en-US"/>
        </w:rPr>
        <w:t xml:space="preserve"> values</w:t>
      </w:r>
      <w:r>
        <w:rPr>
          <w:lang w:val="en-US"/>
        </w:rPr>
        <w:t xml:space="preserve">, </w:t>
      </w:r>
      <w:r w:rsidRPr="005276CE">
        <w:rPr>
          <w:lang w:val="en-US"/>
        </w:rPr>
        <w:t xml:space="preserve">the RA-RNTI equation </w:t>
      </w:r>
      <w:r w:rsidR="003154F4">
        <w:rPr>
          <w:rFonts w:hint="eastAsia"/>
          <w:lang w:val="en-US"/>
        </w:rPr>
        <w:t xml:space="preserve">can be defined as </w:t>
      </w:r>
      <w:r w:rsidRPr="005276CE">
        <w:rPr>
          <w:lang w:val="en-US"/>
        </w:rPr>
        <w:t>a function of the PRACH configuration ID (e.g., ID=0, 1).</w:t>
      </w:r>
    </w:p>
    <w:p w14:paraId="3DFAAF14" w14:textId="3C5290D4" w:rsidR="002D402D" w:rsidRPr="009E7B0E" w:rsidRDefault="002D402D" w:rsidP="002D402D">
      <w:pPr>
        <w:spacing w:after="60"/>
        <w:rPr>
          <w:b/>
        </w:rPr>
      </w:pPr>
      <w:r w:rsidRPr="009E7B0E">
        <w:rPr>
          <w:b/>
        </w:rPr>
        <w:t xml:space="preserve">Proposal </w:t>
      </w:r>
      <w:r w:rsidR="004771E5">
        <w:rPr>
          <w:rFonts w:hint="eastAsia"/>
          <w:b/>
        </w:rPr>
        <w:t>5</w:t>
      </w:r>
      <w:r w:rsidRPr="009E7B0E">
        <w:rPr>
          <w:b/>
        </w:rPr>
        <w:t xml:space="preserve">: </w:t>
      </w:r>
      <w:r w:rsidR="009E7B0E" w:rsidRPr="009E7B0E">
        <w:rPr>
          <w:b/>
        </w:rPr>
        <w:t>For</w:t>
      </w:r>
      <w:r w:rsidRPr="009E7B0E">
        <w:rPr>
          <w:b/>
        </w:rPr>
        <w:t xml:space="preserve"> a case where legacy ROs and additional ROs are FDM-ed while occupying the same set of symbols, </w:t>
      </w:r>
      <w:r w:rsidR="003154F4">
        <w:rPr>
          <w:rFonts w:hint="eastAsia"/>
          <w:b/>
        </w:rPr>
        <w:t>update</w:t>
      </w:r>
      <w:r w:rsidRPr="009E7B0E">
        <w:rPr>
          <w:b/>
        </w:rPr>
        <w:t xml:space="preserve"> the RA-RNTI equation based on one of the following options:</w:t>
      </w:r>
    </w:p>
    <w:p w14:paraId="7C60A52C" w14:textId="26FFA13A" w:rsidR="002D402D" w:rsidRPr="009E7B0E" w:rsidRDefault="002D402D" w:rsidP="002D402D">
      <w:pPr>
        <w:pStyle w:val="a4"/>
        <w:numPr>
          <w:ilvl w:val="0"/>
          <w:numId w:val="36"/>
        </w:numPr>
        <w:spacing w:after="60"/>
        <w:ind w:leftChars="0"/>
        <w:rPr>
          <w:b/>
        </w:rPr>
      </w:pPr>
      <w:r w:rsidRPr="009E7B0E">
        <w:rPr>
          <w:b/>
        </w:rPr>
        <w:t xml:space="preserve">Option 1: Reinterpret </w:t>
      </w:r>
      <w:proofErr w:type="spellStart"/>
      <w:r w:rsidRPr="009E7B0E">
        <w:rPr>
          <w:b/>
        </w:rPr>
        <w:t>f_id</w:t>
      </w:r>
      <w:proofErr w:type="spellEnd"/>
      <w:r w:rsidR="009E7B0E" w:rsidRPr="009E7B0E">
        <w:rPr>
          <w:b/>
        </w:rPr>
        <w:t xml:space="preserve"> such that it is mapped</w:t>
      </w:r>
      <w:r w:rsidRPr="009E7B0E">
        <w:rPr>
          <w:b/>
        </w:rPr>
        <w:t xml:space="preserve"> over legacy ROs first, followed by additional ROs</w:t>
      </w:r>
      <w:r w:rsidR="00C166B0" w:rsidRPr="009E7B0E">
        <w:rPr>
          <w:b/>
        </w:rPr>
        <w:t>.</w:t>
      </w:r>
    </w:p>
    <w:p w14:paraId="2D2C4193" w14:textId="03037F5A" w:rsidR="002D402D" w:rsidRPr="009E7B0E" w:rsidRDefault="002D402D" w:rsidP="002D402D">
      <w:pPr>
        <w:pStyle w:val="a4"/>
        <w:numPr>
          <w:ilvl w:val="0"/>
          <w:numId w:val="36"/>
        </w:numPr>
        <w:ind w:leftChars="0"/>
        <w:rPr>
          <w:b/>
        </w:rPr>
      </w:pPr>
      <w:r w:rsidRPr="009E7B0E">
        <w:rPr>
          <w:rFonts w:hint="eastAsia"/>
          <w:b/>
        </w:rPr>
        <w:t>O</w:t>
      </w:r>
      <w:r w:rsidRPr="009E7B0E">
        <w:rPr>
          <w:b/>
        </w:rPr>
        <w:t xml:space="preserve">ption 2: </w:t>
      </w:r>
      <w:r w:rsidR="003154F4">
        <w:rPr>
          <w:rFonts w:hint="eastAsia"/>
          <w:b/>
        </w:rPr>
        <w:t>Reflect</w:t>
      </w:r>
      <w:r w:rsidR="009E7B0E" w:rsidRPr="009E7B0E">
        <w:rPr>
          <w:b/>
        </w:rPr>
        <w:t xml:space="preserve"> the PRACH configuration ID in </w:t>
      </w:r>
      <w:r w:rsidRPr="009E7B0E">
        <w:rPr>
          <w:b/>
        </w:rPr>
        <w:t>the RA-RNTI equation</w:t>
      </w:r>
      <w:r w:rsidR="00C166B0" w:rsidRPr="009E7B0E">
        <w:rPr>
          <w:b/>
        </w:rPr>
        <w:t>.</w:t>
      </w:r>
    </w:p>
    <w:p w14:paraId="475076CD" w14:textId="77777777" w:rsidR="002D402D" w:rsidRPr="002D402D" w:rsidRDefault="002D402D" w:rsidP="00C02370"/>
    <w:p w14:paraId="4070FC0B" w14:textId="0A88BA80" w:rsidR="00F613CD" w:rsidRPr="009D67ED" w:rsidRDefault="00EC5F3B" w:rsidP="00C02370">
      <w:pPr>
        <w:pStyle w:val="1"/>
      </w:pPr>
      <w:r>
        <w:t>Conclusion</w:t>
      </w:r>
    </w:p>
    <w:p w14:paraId="575B676B" w14:textId="5F51DFE7" w:rsidR="005E7123" w:rsidRDefault="000E0B10" w:rsidP="00A63B48">
      <w:r w:rsidRPr="006C03B2">
        <w:rPr>
          <w:rFonts w:hint="eastAsia"/>
        </w:rPr>
        <w:t>In this contribution,</w:t>
      </w:r>
      <w:r w:rsidR="00201E22">
        <w:t xml:space="preserve"> we discuss our view on potential enhancements for time domain adaptation </w:t>
      </w:r>
      <w:r w:rsidR="002C5738">
        <w:rPr>
          <w:rFonts w:hint="eastAsia"/>
        </w:rPr>
        <w:t>for</w:t>
      </w:r>
      <w:r w:rsidR="00201E22">
        <w:t xml:space="preserve"> SSB</w:t>
      </w:r>
      <w:r w:rsidR="002C5738">
        <w:rPr>
          <w:rFonts w:hint="eastAsia"/>
        </w:rPr>
        <w:t xml:space="preserve"> and</w:t>
      </w:r>
      <w:r w:rsidR="00201E22">
        <w:t xml:space="preserve"> PRACH. The following proposals are </w:t>
      </w:r>
      <w:r w:rsidR="008105D3">
        <w:rPr>
          <w:rFonts w:hint="eastAsia"/>
        </w:rPr>
        <w:t>noted</w:t>
      </w:r>
      <w:r w:rsidR="00201E22">
        <w:t>.</w:t>
      </w:r>
    </w:p>
    <w:p w14:paraId="319270C7" w14:textId="77777777" w:rsidR="008105D3" w:rsidRPr="008105D3" w:rsidRDefault="008105D3" w:rsidP="008105D3">
      <w:pPr>
        <w:rPr>
          <w:b/>
          <w:bCs/>
          <w:lang w:val="en-US"/>
        </w:rPr>
      </w:pPr>
      <w:r w:rsidRPr="008105D3">
        <w:rPr>
          <w:b/>
          <w:bCs/>
        </w:rPr>
        <w:t>Proposal</w:t>
      </w:r>
      <w:r w:rsidRPr="008105D3">
        <w:rPr>
          <w:rFonts w:hint="eastAsia"/>
          <w:b/>
          <w:bCs/>
        </w:rPr>
        <w:t xml:space="preserve"> 1</w:t>
      </w:r>
      <w:r w:rsidRPr="008105D3">
        <w:rPr>
          <w:b/>
          <w:bCs/>
        </w:rPr>
        <w:t>: When a DCI format 2_9 indicates a SSB periodicity</w:t>
      </w:r>
      <w:r w:rsidRPr="008105D3">
        <w:rPr>
          <w:rFonts w:hint="eastAsia"/>
          <w:b/>
          <w:bCs/>
        </w:rPr>
        <w:t xml:space="preserve"> for an </w:t>
      </w:r>
      <w:proofErr w:type="spellStart"/>
      <w:r w:rsidRPr="008105D3">
        <w:rPr>
          <w:rFonts w:hint="eastAsia"/>
          <w:b/>
          <w:bCs/>
        </w:rPr>
        <w:t>SCell</w:t>
      </w:r>
      <w:proofErr w:type="spellEnd"/>
      <w:r w:rsidRPr="008105D3">
        <w:rPr>
          <w:b/>
          <w:bCs/>
        </w:rPr>
        <w:t xml:space="preserve">, the indicated periodicity </w:t>
      </w:r>
      <w:r>
        <w:rPr>
          <w:rFonts w:hint="eastAsia"/>
          <w:b/>
          <w:bCs/>
        </w:rPr>
        <w:t>is</w:t>
      </w:r>
      <w:r w:rsidRPr="008105D3">
        <w:rPr>
          <w:b/>
          <w:bCs/>
        </w:rPr>
        <w:t xml:space="preserve"> applied to all relevant SSBs</w:t>
      </w:r>
      <w:r w:rsidRPr="008105D3">
        <w:rPr>
          <w:rFonts w:hint="eastAsia"/>
          <w:b/>
          <w:bCs/>
        </w:rPr>
        <w:t xml:space="preserve"> in the </w:t>
      </w:r>
      <w:proofErr w:type="spellStart"/>
      <w:r w:rsidRPr="008105D3">
        <w:rPr>
          <w:rFonts w:hint="eastAsia"/>
          <w:b/>
          <w:bCs/>
        </w:rPr>
        <w:t>SCell</w:t>
      </w:r>
      <w:proofErr w:type="spellEnd"/>
      <w:r w:rsidRPr="008105D3">
        <w:rPr>
          <w:b/>
          <w:bCs/>
        </w:rPr>
        <w:t>, regardless of which DL BWP is currently active.</w:t>
      </w:r>
    </w:p>
    <w:p w14:paraId="5AF7395C" w14:textId="77777777" w:rsidR="004771E5" w:rsidRPr="004771E5" w:rsidRDefault="004771E5" w:rsidP="004771E5">
      <w:pPr>
        <w:rPr>
          <w:rFonts w:hint="eastAsia"/>
          <w:lang w:val="en-US"/>
        </w:rPr>
      </w:pPr>
      <w:r>
        <w:rPr>
          <w:rFonts w:hint="eastAsia"/>
          <w:b/>
          <w:bCs/>
        </w:rPr>
        <w:t xml:space="preserve">Proposal 2: If </w:t>
      </w:r>
      <w:r w:rsidRPr="004771E5">
        <w:rPr>
          <w:rFonts w:hint="eastAsia"/>
          <w:b/>
          <w:bCs/>
        </w:rPr>
        <w:t xml:space="preserve">combined with the OD-SSB feature, </w:t>
      </w:r>
      <w:r w:rsidRPr="004771E5">
        <w:rPr>
          <w:b/>
          <w:bCs/>
        </w:rPr>
        <w:t xml:space="preserve">the SSB periodicity adaptation </w:t>
      </w:r>
      <w:r w:rsidRPr="004771E5">
        <w:rPr>
          <w:rFonts w:hint="eastAsia"/>
          <w:b/>
          <w:bCs/>
        </w:rPr>
        <w:t>can be applied</w:t>
      </w:r>
      <w:r w:rsidRPr="004771E5">
        <w:rPr>
          <w:b/>
          <w:bCs/>
        </w:rPr>
        <w:t xml:space="preserve"> </w:t>
      </w:r>
      <w:r w:rsidRPr="004771E5">
        <w:rPr>
          <w:rFonts w:hint="eastAsia"/>
          <w:b/>
          <w:bCs/>
        </w:rPr>
        <w:t>only</w:t>
      </w:r>
      <w:r w:rsidRPr="004771E5">
        <w:rPr>
          <w:b/>
          <w:bCs/>
        </w:rPr>
        <w:t xml:space="preserve"> to the AO-SSB</w:t>
      </w:r>
      <w:r w:rsidRPr="004771E5">
        <w:rPr>
          <w:rFonts w:hint="eastAsia"/>
          <w:b/>
          <w:bCs/>
        </w:rPr>
        <w:t>.</w:t>
      </w:r>
    </w:p>
    <w:p w14:paraId="70337D3A" w14:textId="387BAD73" w:rsidR="000106AB" w:rsidRDefault="000106AB" w:rsidP="000106AB">
      <w:pPr>
        <w:rPr>
          <w:b/>
          <w:bCs/>
          <w:lang w:val="en-US"/>
        </w:rPr>
      </w:pPr>
      <w:r w:rsidRPr="000106AB">
        <w:rPr>
          <w:b/>
          <w:bCs/>
          <w:lang w:val="en-US"/>
        </w:rPr>
        <w:t xml:space="preserve">Proposal </w:t>
      </w:r>
      <w:r w:rsidR="004771E5">
        <w:rPr>
          <w:rFonts w:hint="eastAsia"/>
          <w:b/>
          <w:bCs/>
          <w:lang w:val="en-US"/>
        </w:rPr>
        <w:t>3</w:t>
      </w:r>
      <w:r w:rsidRPr="000106AB">
        <w:rPr>
          <w:b/>
          <w:bCs/>
          <w:lang w:val="en-US"/>
        </w:rPr>
        <w:t>: Allow UE to switch between legacy and additional PRACH resources across the initial PRACH transmission and its retransmission.</w:t>
      </w:r>
    </w:p>
    <w:p w14:paraId="02580406" w14:textId="24943123" w:rsidR="000106AB" w:rsidRPr="00D93830" w:rsidRDefault="000106AB" w:rsidP="000106AB">
      <w:pPr>
        <w:rPr>
          <w:b/>
          <w:bCs/>
          <w:lang w:val="en-US"/>
        </w:rPr>
      </w:pPr>
      <w:r>
        <w:rPr>
          <w:rFonts w:hint="eastAsia"/>
          <w:b/>
          <w:bCs/>
          <w:lang w:val="en-US"/>
        </w:rPr>
        <w:t xml:space="preserve">Proposal </w:t>
      </w:r>
      <w:r w:rsidR="004771E5">
        <w:rPr>
          <w:rFonts w:hint="eastAsia"/>
          <w:b/>
          <w:bCs/>
          <w:lang w:val="en-US"/>
        </w:rPr>
        <w:t>4</w:t>
      </w:r>
      <w:r>
        <w:rPr>
          <w:rFonts w:hint="eastAsia"/>
          <w:b/>
          <w:bCs/>
          <w:lang w:val="en-US"/>
        </w:rPr>
        <w:t>: P</w:t>
      </w:r>
      <w:r w:rsidRPr="000106AB">
        <w:rPr>
          <w:b/>
          <w:bCs/>
          <w:lang w:val="en-US"/>
        </w:rPr>
        <w:t>ower ramping procedure remain</w:t>
      </w:r>
      <w:r>
        <w:rPr>
          <w:rFonts w:hint="eastAsia"/>
          <w:b/>
          <w:bCs/>
          <w:lang w:val="en-US"/>
        </w:rPr>
        <w:t>s</w:t>
      </w:r>
      <w:r w:rsidRPr="000106AB">
        <w:rPr>
          <w:b/>
          <w:bCs/>
          <w:lang w:val="en-US"/>
        </w:rPr>
        <w:t xml:space="preserve"> consistent when UE switches PRACH resources between the initial transmission and the retransmission (i.e., the power ramping counter </w:t>
      </w:r>
      <w:r>
        <w:rPr>
          <w:rFonts w:hint="eastAsia"/>
          <w:b/>
          <w:bCs/>
          <w:lang w:val="en-US"/>
        </w:rPr>
        <w:t>is not</w:t>
      </w:r>
      <w:r w:rsidRPr="000106AB">
        <w:rPr>
          <w:b/>
          <w:bCs/>
          <w:lang w:val="en-US"/>
        </w:rPr>
        <w:t xml:space="preserve"> reset).</w:t>
      </w:r>
    </w:p>
    <w:p w14:paraId="13452042" w14:textId="4BC7388E" w:rsidR="003154F4" w:rsidRPr="009E7B0E" w:rsidRDefault="003154F4" w:rsidP="003154F4">
      <w:pPr>
        <w:spacing w:after="60"/>
        <w:rPr>
          <w:b/>
        </w:rPr>
      </w:pPr>
      <w:r w:rsidRPr="009E7B0E">
        <w:rPr>
          <w:b/>
        </w:rPr>
        <w:t xml:space="preserve">Proposal </w:t>
      </w:r>
      <w:r w:rsidR="004771E5">
        <w:rPr>
          <w:rFonts w:hint="eastAsia"/>
          <w:b/>
        </w:rPr>
        <w:t>5</w:t>
      </w:r>
      <w:r w:rsidRPr="009E7B0E">
        <w:rPr>
          <w:b/>
        </w:rPr>
        <w:t xml:space="preserve">: For a case where legacy ROs and additional ROs are FDM-ed while occupying the same set of symbols, </w:t>
      </w:r>
      <w:r>
        <w:rPr>
          <w:rFonts w:hint="eastAsia"/>
          <w:b/>
        </w:rPr>
        <w:t>update</w:t>
      </w:r>
      <w:r w:rsidRPr="009E7B0E">
        <w:rPr>
          <w:b/>
        </w:rPr>
        <w:t xml:space="preserve"> the RA-RNTI equation based on one of the following options:</w:t>
      </w:r>
    </w:p>
    <w:p w14:paraId="5DF33654" w14:textId="77777777" w:rsidR="003154F4" w:rsidRPr="009E7B0E" w:rsidRDefault="003154F4" w:rsidP="003154F4">
      <w:pPr>
        <w:pStyle w:val="a4"/>
        <w:numPr>
          <w:ilvl w:val="0"/>
          <w:numId w:val="36"/>
        </w:numPr>
        <w:spacing w:after="60"/>
        <w:ind w:leftChars="0"/>
        <w:rPr>
          <w:b/>
        </w:rPr>
      </w:pPr>
      <w:r w:rsidRPr="009E7B0E">
        <w:rPr>
          <w:b/>
        </w:rPr>
        <w:t xml:space="preserve">Option 1: Reinterpret </w:t>
      </w:r>
      <w:proofErr w:type="spellStart"/>
      <w:r w:rsidRPr="009E7B0E">
        <w:rPr>
          <w:b/>
        </w:rPr>
        <w:t>f_id</w:t>
      </w:r>
      <w:proofErr w:type="spellEnd"/>
      <w:r w:rsidRPr="009E7B0E">
        <w:rPr>
          <w:b/>
        </w:rPr>
        <w:t xml:space="preserve"> such that it is mapped over legacy ROs first, followed by additional ROs.</w:t>
      </w:r>
    </w:p>
    <w:p w14:paraId="567810C0" w14:textId="77777777" w:rsidR="003154F4" w:rsidRPr="009E7B0E" w:rsidRDefault="003154F4" w:rsidP="003154F4">
      <w:pPr>
        <w:pStyle w:val="a4"/>
        <w:numPr>
          <w:ilvl w:val="0"/>
          <w:numId w:val="36"/>
        </w:numPr>
        <w:ind w:leftChars="0"/>
        <w:rPr>
          <w:b/>
        </w:rPr>
      </w:pPr>
      <w:r w:rsidRPr="009E7B0E">
        <w:rPr>
          <w:rFonts w:hint="eastAsia"/>
          <w:b/>
        </w:rPr>
        <w:t>O</w:t>
      </w:r>
      <w:r w:rsidRPr="009E7B0E">
        <w:rPr>
          <w:b/>
        </w:rPr>
        <w:t xml:space="preserve">ption 2: </w:t>
      </w:r>
      <w:r>
        <w:rPr>
          <w:rFonts w:hint="eastAsia"/>
          <w:b/>
        </w:rPr>
        <w:t>Reflect</w:t>
      </w:r>
      <w:r w:rsidRPr="009E7B0E">
        <w:rPr>
          <w:b/>
        </w:rPr>
        <w:t xml:space="preserve"> the PRACH configuration ID in the RA-RNTI equation.</w:t>
      </w:r>
    </w:p>
    <w:p w14:paraId="22241174" w14:textId="77777777" w:rsidR="002C5738" w:rsidRPr="009E7B0E" w:rsidRDefault="002C5738" w:rsidP="008B68EC"/>
    <w:p w14:paraId="2A04AB50" w14:textId="77777777" w:rsidR="00491D04" w:rsidRPr="00A75F19" w:rsidRDefault="00491D04" w:rsidP="00C02370">
      <w:pPr>
        <w:pStyle w:val="1"/>
      </w:pPr>
      <w:r w:rsidRPr="00A75F19">
        <w:t>References</w:t>
      </w:r>
    </w:p>
    <w:p w14:paraId="04DCF570" w14:textId="4CCECF46" w:rsidR="008C4BFF" w:rsidRDefault="008C4BFF" w:rsidP="008C4BFF">
      <w:pPr>
        <w:spacing w:after="60"/>
      </w:pPr>
      <w:bookmarkStart w:id="7" w:name="_Hlk165554026"/>
      <w:r>
        <w:t>[1] Chair’s Notes RAN1#1</w:t>
      </w:r>
      <w:r w:rsidR="00484815">
        <w:t>20</w:t>
      </w:r>
      <w:r w:rsidR="00FD1C4A">
        <w:t>bis</w:t>
      </w:r>
      <w:r>
        <w:t>.</w:t>
      </w:r>
    </w:p>
    <w:p w14:paraId="28FD0FF8" w14:textId="5D52C83C" w:rsidR="00C8089A" w:rsidRDefault="008C4BFF" w:rsidP="008C4BFF">
      <w:pPr>
        <w:spacing w:after="60"/>
        <w:rPr>
          <w:lang w:val="en-US"/>
        </w:rPr>
      </w:pPr>
      <w:r>
        <w:rPr>
          <w:lang w:val="en-US"/>
        </w:rPr>
        <w:t>[2]</w:t>
      </w:r>
      <w:bookmarkEnd w:id="7"/>
      <w:r>
        <w:rPr>
          <w:lang w:val="en-US"/>
        </w:rPr>
        <w:t xml:space="preserve"> Draft RAN2#12</w:t>
      </w:r>
      <w:r w:rsidR="00484815">
        <w:rPr>
          <w:lang w:val="en-US"/>
        </w:rPr>
        <w:t>9</w:t>
      </w:r>
      <w:r w:rsidR="00FD1C4A">
        <w:rPr>
          <w:lang w:val="en-US"/>
        </w:rPr>
        <w:t>bis</w:t>
      </w:r>
      <w:r>
        <w:rPr>
          <w:lang w:val="en-US"/>
        </w:rPr>
        <w:t xml:space="preserve"> Meeting Report.</w:t>
      </w:r>
    </w:p>
    <w:p w14:paraId="14ECAF42" w14:textId="57278697" w:rsidR="00C67553" w:rsidRPr="00BE756B" w:rsidRDefault="00C67553" w:rsidP="008C4BFF">
      <w:pPr>
        <w:spacing w:after="60"/>
      </w:pPr>
    </w:p>
    <w:sectPr w:rsidR="00C67553" w:rsidRPr="00BE756B" w:rsidSect="00260FD7">
      <w:footerReference w:type="default" r:id="rId10"/>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15A96" w14:textId="77777777" w:rsidR="008C1892" w:rsidRDefault="008C1892" w:rsidP="00C02370">
      <w:r>
        <w:separator/>
      </w:r>
    </w:p>
    <w:p w14:paraId="294D16F8" w14:textId="77777777" w:rsidR="008C1892" w:rsidRDefault="008C1892" w:rsidP="00C02370"/>
  </w:endnote>
  <w:endnote w:type="continuationSeparator" w:id="0">
    <w:p w14:paraId="2478FA36" w14:textId="77777777" w:rsidR="008C1892" w:rsidRDefault="008C1892" w:rsidP="00C02370">
      <w:r>
        <w:continuationSeparator/>
      </w:r>
    </w:p>
    <w:p w14:paraId="5023BA2A" w14:textId="77777777" w:rsidR="008C1892" w:rsidRDefault="008C1892"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5BC18" w14:textId="77777777" w:rsidR="008C1892" w:rsidRDefault="008C1892" w:rsidP="00C02370">
      <w:r>
        <w:separator/>
      </w:r>
    </w:p>
    <w:p w14:paraId="029DCB60" w14:textId="77777777" w:rsidR="008C1892" w:rsidRDefault="008C1892" w:rsidP="00C02370"/>
  </w:footnote>
  <w:footnote w:type="continuationSeparator" w:id="0">
    <w:p w14:paraId="7A187974" w14:textId="77777777" w:rsidR="008C1892" w:rsidRDefault="008C1892" w:rsidP="00C02370">
      <w:r>
        <w:continuationSeparator/>
      </w:r>
    </w:p>
    <w:p w14:paraId="17F85626" w14:textId="77777777" w:rsidR="008C1892" w:rsidRDefault="008C1892"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D427CA"/>
    <w:multiLevelType w:val="hybridMultilevel"/>
    <w:tmpl w:val="58CE733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463167"/>
    <w:multiLevelType w:val="hybridMultilevel"/>
    <w:tmpl w:val="CFFCB3CA"/>
    <w:lvl w:ilvl="0" w:tplc="94B4423C">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3E45223"/>
    <w:multiLevelType w:val="hybridMultilevel"/>
    <w:tmpl w:val="29E23878"/>
    <w:lvl w:ilvl="0" w:tplc="04090003">
      <w:start w:val="1"/>
      <w:numFmt w:val="bullet"/>
      <w:lvlText w:val="o"/>
      <w:lvlJc w:val="left"/>
      <w:pPr>
        <w:ind w:left="800" w:hanging="400"/>
      </w:pPr>
      <w:rPr>
        <w:rFonts w:ascii="Courier New" w:hAnsi="Courier New" w:cs="Courier New" w:hint="default"/>
      </w:rPr>
    </w:lvl>
    <w:lvl w:ilvl="1" w:tplc="1F06AB2E">
      <w:start w:val="150"/>
      <w:numFmt w:val="bullet"/>
      <w:lvlText w:val="­"/>
      <w:lvlJc w:val="left"/>
      <w:pPr>
        <w:ind w:left="1200" w:hanging="400"/>
      </w:pPr>
      <w:rPr>
        <w:rFonts w:ascii="Yu Gothic" w:eastAsia="Yu Gothic" w:hAnsi="Yu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9B7431"/>
    <w:multiLevelType w:val="hybridMultilevel"/>
    <w:tmpl w:val="89DADCBC"/>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10"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1"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541B3D"/>
    <w:multiLevelType w:val="hybridMultilevel"/>
    <w:tmpl w:val="28F6D708"/>
    <w:lvl w:ilvl="0" w:tplc="48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9863D2D"/>
    <w:multiLevelType w:val="hybridMultilevel"/>
    <w:tmpl w:val="4EFC6B88"/>
    <w:lvl w:ilvl="0" w:tplc="94B4423C">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C1063D"/>
    <w:multiLevelType w:val="hybridMultilevel"/>
    <w:tmpl w:val="159422A8"/>
    <w:lvl w:ilvl="0" w:tplc="48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BAE70E2"/>
    <w:multiLevelType w:val="hybridMultilevel"/>
    <w:tmpl w:val="28F6D708"/>
    <w:lvl w:ilvl="0" w:tplc="48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E09555C"/>
    <w:multiLevelType w:val="hybridMultilevel"/>
    <w:tmpl w:val="FA4CEF6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E3A1262"/>
    <w:multiLevelType w:val="hybridMultilevel"/>
    <w:tmpl w:val="B8FA0874"/>
    <w:lvl w:ilvl="0" w:tplc="94B4423C">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E6051"/>
    <w:multiLevelType w:val="hybridMultilevel"/>
    <w:tmpl w:val="009253CC"/>
    <w:lvl w:ilvl="0" w:tplc="C7FA59A2">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1BD4CEF"/>
    <w:multiLevelType w:val="hybridMultilevel"/>
    <w:tmpl w:val="6F9871F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32F445A"/>
    <w:multiLevelType w:val="hybridMultilevel"/>
    <w:tmpl w:val="9B8A702E"/>
    <w:lvl w:ilvl="0" w:tplc="ACB41D62">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D4823CA"/>
    <w:multiLevelType w:val="hybridMultilevel"/>
    <w:tmpl w:val="7992408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48428D"/>
    <w:multiLevelType w:val="hybridMultilevel"/>
    <w:tmpl w:val="C8F276F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DC243A"/>
    <w:multiLevelType w:val="hybridMultilevel"/>
    <w:tmpl w:val="F864A6F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99314B"/>
    <w:multiLevelType w:val="hybridMultilevel"/>
    <w:tmpl w:val="A9EEAFB8"/>
    <w:lvl w:ilvl="0" w:tplc="94B4423C">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3426CA"/>
    <w:multiLevelType w:val="hybridMultilevel"/>
    <w:tmpl w:val="B248EAD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C203B73"/>
    <w:multiLevelType w:val="hybridMultilevel"/>
    <w:tmpl w:val="D6180572"/>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FB92744"/>
    <w:multiLevelType w:val="hybridMultilevel"/>
    <w:tmpl w:val="0CCC3F5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391D57"/>
    <w:multiLevelType w:val="hybridMultilevel"/>
    <w:tmpl w:val="E5E41BD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F62F54"/>
    <w:multiLevelType w:val="hybridMultilevel"/>
    <w:tmpl w:val="3FE6BF04"/>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0586DF7"/>
    <w:multiLevelType w:val="multilevel"/>
    <w:tmpl w:val="E1B80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D84A66"/>
    <w:multiLevelType w:val="hybridMultilevel"/>
    <w:tmpl w:val="C5D4EBB4"/>
    <w:lvl w:ilvl="0" w:tplc="94B4423C">
      <w:start w:val="1"/>
      <w:numFmt w:val="bullet"/>
      <w:lvlText w:val="o"/>
      <w:lvlJc w:val="left"/>
      <w:pPr>
        <w:ind w:left="800" w:hanging="360"/>
      </w:pPr>
      <w:rPr>
        <w:rFonts w:ascii="Courier New" w:hAnsi="Courier New" w:cs="Courier New"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0" w15:restartNumberingAfterBreak="0">
    <w:nsid w:val="632849A9"/>
    <w:multiLevelType w:val="hybridMultilevel"/>
    <w:tmpl w:val="3F54F31C"/>
    <w:lvl w:ilvl="0" w:tplc="94B4423C">
      <w:start w:val="1"/>
      <w:numFmt w:val="bullet"/>
      <w:lvlText w:val="o"/>
      <w:lvlJc w:val="left"/>
      <w:pPr>
        <w:ind w:left="880" w:hanging="440"/>
      </w:pPr>
      <w:rPr>
        <w:rFonts w:ascii="Courier New" w:hAnsi="Courier New" w:cs="Courier New"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9D3210D"/>
    <w:multiLevelType w:val="hybridMultilevel"/>
    <w:tmpl w:val="41D8681A"/>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C00045E"/>
    <w:multiLevelType w:val="hybridMultilevel"/>
    <w:tmpl w:val="7D4E7B3E"/>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C7681B"/>
    <w:multiLevelType w:val="hybridMultilevel"/>
    <w:tmpl w:val="28F6D708"/>
    <w:lvl w:ilvl="0" w:tplc="48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9965C3"/>
    <w:multiLevelType w:val="hybridMultilevel"/>
    <w:tmpl w:val="7E1EEAF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309748777">
    <w:abstractNumId w:val="6"/>
  </w:num>
  <w:num w:numId="2" w16cid:durableId="1520310547">
    <w:abstractNumId w:val="9"/>
  </w:num>
  <w:num w:numId="3" w16cid:durableId="700979996">
    <w:abstractNumId w:val="10"/>
  </w:num>
  <w:num w:numId="4" w16cid:durableId="1193810586">
    <w:abstractNumId w:val="4"/>
  </w:num>
  <w:num w:numId="5" w16cid:durableId="1275137837">
    <w:abstractNumId w:val="37"/>
  </w:num>
  <w:num w:numId="6" w16cid:durableId="1757943483">
    <w:abstractNumId w:val="17"/>
  </w:num>
  <w:num w:numId="7" w16cid:durableId="1350067455">
    <w:abstractNumId w:val="7"/>
  </w:num>
  <w:num w:numId="8" w16cid:durableId="2040010890">
    <w:abstractNumId w:val="25"/>
  </w:num>
  <w:num w:numId="9" w16cid:durableId="701826954">
    <w:abstractNumId w:val="29"/>
  </w:num>
  <w:num w:numId="10" w16cid:durableId="1585382801">
    <w:abstractNumId w:val="43"/>
  </w:num>
  <w:num w:numId="11" w16cid:durableId="1182477539">
    <w:abstractNumId w:val="1"/>
  </w:num>
  <w:num w:numId="12" w16cid:durableId="122189282">
    <w:abstractNumId w:val="30"/>
  </w:num>
  <w:num w:numId="13" w16cid:durableId="1098866434">
    <w:abstractNumId w:val="42"/>
  </w:num>
  <w:num w:numId="14" w16cid:durableId="783038774">
    <w:abstractNumId w:val="14"/>
  </w:num>
  <w:num w:numId="15" w16cid:durableId="957612535">
    <w:abstractNumId w:val="44"/>
  </w:num>
  <w:num w:numId="16" w16cid:durableId="1755198281">
    <w:abstractNumId w:val="23"/>
  </w:num>
  <w:num w:numId="17" w16cid:durableId="2030177214">
    <w:abstractNumId w:val="12"/>
  </w:num>
  <w:num w:numId="18" w16cid:durableId="129566488">
    <w:abstractNumId w:val="33"/>
  </w:num>
  <w:num w:numId="19" w16cid:durableId="248006631">
    <w:abstractNumId w:val="41"/>
  </w:num>
  <w:num w:numId="20" w16cid:durableId="531111975">
    <w:abstractNumId w:val="8"/>
  </w:num>
  <w:num w:numId="21" w16cid:durableId="341932133">
    <w:abstractNumId w:val="46"/>
  </w:num>
  <w:num w:numId="22" w16cid:durableId="1469935990">
    <w:abstractNumId w:val="21"/>
  </w:num>
  <w:num w:numId="23" w16cid:durableId="44718433">
    <w:abstractNumId w:val="3"/>
  </w:num>
  <w:num w:numId="24" w16cid:durableId="983046435">
    <w:abstractNumId w:val="22"/>
  </w:num>
  <w:num w:numId="25" w16cid:durableId="1686514604">
    <w:abstractNumId w:val="34"/>
  </w:num>
  <w:num w:numId="26" w16cid:durableId="2067340827">
    <w:abstractNumId w:val="28"/>
  </w:num>
  <w:num w:numId="27" w16cid:durableId="2061660777">
    <w:abstractNumId w:val="27"/>
  </w:num>
  <w:num w:numId="28" w16cid:durableId="1093630336">
    <w:abstractNumId w:val="13"/>
  </w:num>
  <w:num w:numId="29" w16cid:durableId="1150945663">
    <w:abstractNumId w:val="2"/>
  </w:num>
  <w:num w:numId="30" w16cid:durableId="1658918265">
    <w:abstractNumId w:val="35"/>
  </w:num>
  <w:num w:numId="31" w16cid:durableId="259417170">
    <w:abstractNumId w:val="32"/>
  </w:num>
  <w:num w:numId="32" w16cid:durableId="449782600">
    <w:abstractNumId w:val="36"/>
  </w:num>
  <w:num w:numId="33" w16cid:durableId="912011515">
    <w:abstractNumId w:val="15"/>
  </w:num>
  <w:num w:numId="34" w16cid:durableId="426535386">
    <w:abstractNumId w:val="31"/>
  </w:num>
  <w:num w:numId="35" w16cid:durableId="1947691222">
    <w:abstractNumId w:val="16"/>
  </w:num>
  <w:num w:numId="36" w16cid:durableId="2105684865">
    <w:abstractNumId w:val="26"/>
  </w:num>
  <w:num w:numId="37" w16cid:durableId="79059343">
    <w:abstractNumId w:val="0"/>
  </w:num>
  <w:num w:numId="38" w16cid:durableId="22904814">
    <w:abstractNumId w:val="5"/>
  </w:num>
  <w:num w:numId="39" w16cid:durableId="854536889">
    <w:abstractNumId w:val="24"/>
  </w:num>
  <w:num w:numId="40" w16cid:durableId="1808938177">
    <w:abstractNumId w:val="11"/>
  </w:num>
  <w:num w:numId="41" w16cid:durableId="991638232">
    <w:abstractNumId w:val="45"/>
  </w:num>
  <w:num w:numId="42" w16cid:durableId="219371040">
    <w:abstractNumId w:val="18"/>
  </w:num>
  <w:num w:numId="43" w16cid:durableId="302853244">
    <w:abstractNumId w:val="20"/>
  </w:num>
  <w:num w:numId="44" w16cid:durableId="1878082580">
    <w:abstractNumId w:val="39"/>
  </w:num>
  <w:num w:numId="45" w16cid:durableId="1613244223">
    <w:abstractNumId w:val="40"/>
  </w:num>
  <w:num w:numId="46" w16cid:durableId="998079273">
    <w:abstractNumId w:val="19"/>
  </w:num>
  <w:num w:numId="47" w16cid:durableId="194124598">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7941"/>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4899"/>
    <w:rsid w:val="00064FBC"/>
    <w:rsid w:val="0006554E"/>
    <w:rsid w:val="000657E6"/>
    <w:rsid w:val="00065C15"/>
    <w:rsid w:val="00066CD0"/>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D2A"/>
    <w:rsid w:val="000A2DA5"/>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57C"/>
    <w:rsid w:val="00112865"/>
    <w:rsid w:val="0011351F"/>
    <w:rsid w:val="00113842"/>
    <w:rsid w:val="00114237"/>
    <w:rsid w:val="0011490F"/>
    <w:rsid w:val="00114CCB"/>
    <w:rsid w:val="00114E27"/>
    <w:rsid w:val="00115A10"/>
    <w:rsid w:val="00115B6E"/>
    <w:rsid w:val="00116095"/>
    <w:rsid w:val="001164DE"/>
    <w:rsid w:val="001166ED"/>
    <w:rsid w:val="001173BB"/>
    <w:rsid w:val="00117CD7"/>
    <w:rsid w:val="00120370"/>
    <w:rsid w:val="00120536"/>
    <w:rsid w:val="00120770"/>
    <w:rsid w:val="001207DD"/>
    <w:rsid w:val="00121540"/>
    <w:rsid w:val="0012180D"/>
    <w:rsid w:val="00121ABD"/>
    <w:rsid w:val="00121C9E"/>
    <w:rsid w:val="00122465"/>
    <w:rsid w:val="00122541"/>
    <w:rsid w:val="00122AD1"/>
    <w:rsid w:val="0012373B"/>
    <w:rsid w:val="00123A70"/>
    <w:rsid w:val="00123A9A"/>
    <w:rsid w:val="00123F77"/>
    <w:rsid w:val="00124FAE"/>
    <w:rsid w:val="00125B29"/>
    <w:rsid w:val="00125C2A"/>
    <w:rsid w:val="00125F95"/>
    <w:rsid w:val="0012610F"/>
    <w:rsid w:val="001261F1"/>
    <w:rsid w:val="0012694A"/>
    <w:rsid w:val="00126E7A"/>
    <w:rsid w:val="0012711D"/>
    <w:rsid w:val="0012723D"/>
    <w:rsid w:val="001306B8"/>
    <w:rsid w:val="001306C9"/>
    <w:rsid w:val="00130B0D"/>
    <w:rsid w:val="00130C3F"/>
    <w:rsid w:val="00130D40"/>
    <w:rsid w:val="001313B4"/>
    <w:rsid w:val="0013181A"/>
    <w:rsid w:val="001323A3"/>
    <w:rsid w:val="00132CEA"/>
    <w:rsid w:val="00132D18"/>
    <w:rsid w:val="0013311D"/>
    <w:rsid w:val="001332C7"/>
    <w:rsid w:val="001339E9"/>
    <w:rsid w:val="001343AB"/>
    <w:rsid w:val="001344CE"/>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50085"/>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260"/>
    <w:rsid w:val="0018258B"/>
    <w:rsid w:val="00182AEB"/>
    <w:rsid w:val="00183303"/>
    <w:rsid w:val="00183F8B"/>
    <w:rsid w:val="001845B1"/>
    <w:rsid w:val="001846BC"/>
    <w:rsid w:val="001848AF"/>
    <w:rsid w:val="001854B3"/>
    <w:rsid w:val="001857BB"/>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CE"/>
    <w:rsid w:val="001B00E4"/>
    <w:rsid w:val="001B0377"/>
    <w:rsid w:val="001B08F5"/>
    <w:rsid w:val="001B0D70"/>
    <w:rsid w:val="001B163E"/>
    <w:rsid w:val="001B1B7B"/>
    <w:rsid w:val="001B1EA9"/>
    <w:rsid w:val="001B2360"/>
    <w:rsid w:val="001B33AC"/>
    <w:rsid w:val="001B4853"/>
    <w:rsid w:val="001B543B"/>
    <w:rsid w:val="001B552F"/>
    <w:rsid w:val="001B5DF8"/>
    <w:rsid w:val="001B5E91"/>
    <w:rsid w:val="001B61F7"/>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27C"/>
    <w:rsid w:val="001C44B9"/>
    <w:rsid w:val="001C44CB"/>
    <w:rsid w:val="001C546A"/>
    <w:rsid w:val="001C6108"/>
    <w:rsid w:val="001C63A7"/>
    <w:rsid w:val="001C647A"/>
    <w:rsid w:val="001C6640"/>
    <w:rsid w:val="001C71AB"/>
    <w:rsid w:val="001D0132"/>
    <w:rsid w:val="001D0635"/>
    <w:rsid w:val="001D08A1"/>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431E"/>
    <w:rsid w:val="001E54C7"/>
    <w:rsid w:val="001E5DDA"/>
    <w:rsid w:val="001E6722"/>
    <w:rsid w:val="001E6A77"/>
    <w:rsid w:val="001E74F1"/>
    <w:rsid w:val="001F0718"/>
    <w:rsid w:val="001F07A2"/>
    <w:rsid w:val="001F0B33"/>
    <w:rsid w:val="001F1030"/>
    <w:rsid w:val="001F1206"/>
    <w:rsid w:val="001F1C39"/>
    <w:rsid w:val="001F1D88"/>
    <w:rsid w:val="001F2448"/>
    <w:rsid w:val="001F2705"/>
    <w:rsid w:val="001F2A51"/>
    <w:rsid w:val="001F3408"/>
    <w:rsid w:val="001F37F0"/>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69A"/>
    <w:rsid w:val="00203AC7"/>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C39"/>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2F"/>
    <w:rsid w:val="00291CEE"/>
    <w:rsid w:val="00292075"/>
    <w:rsid w:val="002926AE"/>
    <w:rsid w:val="00292743"/>
    <w:rsid w:val="0029297A"/>
    <w:rsid w:val="002929D4"/>
    <w:rsid w:val="00292E35"/>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E4D"/>
    <w:rsid w:val="002B1F24"/>
    <w:rsid w:val="002B42FB"/>
    <w:rsid w:val="002B4DC6"/>
    <w:rsid w:val="002B4E49"/>
    <w:rsid w:val="002B4F64"/>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738"/>
    <w:rsid w:val="002C5889"/>
    <w:rsid w:val="002C59A5"/>
    <w:rsid w:val="002C5EA9"/>
    <w:rsid w:val="002C6710"/>
    <w:rsid w:val="002C6869"/>
    <w:rsid w:val="002C6CFE"/>
    <w:rsid w:val="002D046C"/>
    <w:rsid w:val="002D0781"/>
    <w:rsid w:val="002D1333"/>
    <w:rsid w:val="002D1AAA"/>
    <w:rsid w:val="002D2231"/>
    <w:rsid w:val="002D22B7"/>
    <w:rsid w:val="002D2888"/>
    <w:rsid w:val="002D2A11"/>
    <w:rsid w:val="002D2F93"/>
    <w:rsid w:val="002D30EE"/>
    <w:rsid w:val="002D35C9"/>
    <w:rsid w:val="002D402D"/>
    <w:rsid w:val="002D40E1"/>
    <w:rsid w:val="002D42D7"/>
    <w:rsid w:val="002D4382"/>
    <w:rsid w:val="002D4847"/>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7457"/>
    <w:rsid w:val="0030014D"/>
    <w:rsid w:val="00300497"/>
    <w:rsid w:val="00301701"/>
    <w:rsid w:val="0030170F"/>
    <w:rsid w:val="00301906"/>
    <w:rsid w:val="003025BB"/>
    <w:rsid w:val="00302ED5"/>
    <w:rsid w:val="00303351"/>
    <w:rsid w:val="00303E39"/>
    <w:rsid w:val="00303FEC"/>
    <w:rsid w:val="003040C5"/>
    <w:rsid w:val="00304BBA"/>
    <w:rsid w:val="00304E96"/>
    <w:rsid w:val="00304FBA"/>
    <w:rsid w:val="00305411"/>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3D8"/>
    <w:rsid w:val="00313405"/>
    <w:rsid w:val="003136C8"/>
    <w:rsid w:val="00313D42"/>
    <w:rsid w:val="00313F78"/>
    <w:rsid w:val="00314547"/>
    <w:rsid w:val="00314CB7"/>
    <w:rsid w:val="003150D5"/>
    <w:rsid w:val="003154F4"/>
    <w:rsid w:val="003161F9"/>
    <w:rsid w:val="003164B1"/>
    <w:rsid w:val="00316DA7"/>
    <w:rsid w:val="0031779C"/>
    <w:rsid w:val="00317931"/>
    <w:rsid w:val="0032077C"/>
    <w:rsid w:val="003215E5"/>
    <w:rsid w:val="00321A67"/>
    <w:rsid w:val="00321DB1"/>
    <w:rsid w:val="00321F45"/>
    <w:rsid w:val="00322309"/>
    <w:rsid w:val="00322356"/>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878"/>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72B"/>
    <w:rsid w:val="003542C0"/>
    <w:rsid w:val="00355789"/>
    <w:rsid w:val="00355AE0"/>
    <w:rsid w:val="0035676C"/>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DA2"/>
    <w:rsid w:val="0037303D"/>
    <w:rsid w:val="003737C7"/>
    <w:rsid w:val="003738A1"/>
    <w:rsid w:val="00373B42"/>
    <w:rsid w:val="00373D8A"/>
    <w:rsid w:val="00373E6B"/>
    <w:rsid w:val="00374866"/>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63DE"/>
    <w:rsid w:val="003864C2"/>
    <w:rsid w:val="00386DE4"/>
    <w:rsid w:val="003871D5"/>
    <w:rsid w:val="00387A8D"/>
    <w:rsid w:val="00387B48"/>
    <w:rsid w:val="00387C2E"/>
    <w:rsid w:val="00387FB0"/>
    <w:rsid w:val="0039013C"/>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62AC"/>
    <w:rsid w:val="003B6620"/>
    <w:rsid w:val="003B6BCE"/>
    <w:rsid w:val="003B6D26"/>
    <w:rsid w:val="003B7038"/>
    <w:rsid w:val="003C06AC"/>
    <w:rsid w:val="003C1D09"/>
    <w:rsid w:val="003C1D79"/>
    <w:rsid w:val="003C1E9D"/>
    <w:rsid w:val="003C23BD"/>
    <w:rsid w:val="003C25B1"/>
    <w:rsid w:val="003C29D3"/>
    <w:rsid w:val="003C29F9"/>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5B"/>
    <w:rsid w:val="004362F9"/>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0E04"/>
    <w:rsid w:val="00451288"/>
    <w:rsid w:val="00451FA9"/>
    <w:rsid w:val="00452603"/>
    <w:rsid w:val="0045288E"/>
    <w:rsid w:val="004529F9"/>
    <w:rsid w:val="00452CCA"/>
    <w:rsid w:val="00452E29"/>
    <w:rsid w:val="004536F1"/>
    <w:rsid w:val="0045385C"/>
    <w:rsid w:val="00453FEF"/>
    <w:rsid w:val="0045425C"/>
    <w:rsid w:val="00454DAB"/>
    <w:rsid w:val="00454FE7"/>
    <w:rsid w:val="00455856"/>
    <w:rsid w:val="00455FB5"/>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FC1"/>
    <w:rsid w:val="00480047"/>
    <w:rsid w:val="00480400"/>
    <w:rsid w:val="004816FC"/>
    <w:rsid w:val="004832DA"/>
    <w:rsid w:val="00483381"/>
    <w:rsid w:val="004834FB"/>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6D78"/>
    <w:rsid w:val="004D702C"/>
    <w:rsid w:val="004D7184"/>
    <w:rsid w:val="004D7C8E"/>
    <w:rsid w:val="004D7D50"/>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6C68"/>
    <w:rsid w:val="005272E9"/>
    <w:rsid w:val="005276CE"/>
    <w:rsid w:val="005279CE"/>
    <w:rsid w:val="00527E49"/>
    <w:rsid w:val="00527FAE"/>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CA1"/>
    <w:rsid w:val="00551460"/>
    <w:rsid w:val="00551EB7"/>
    <w:rsid w:val="00552A5B"/>
    <w:rsid w:val="00552C16"/>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671"/>
    <w:rsid w:val="00576779"/>
    <w:rsid w:val="00576C60"/>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D9A"/>
    <w:rsid w:val="00587E43"/>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65E4"/>
    <w:rsid w:val="005C7166"/>
    <w:rsid w:val="005C76EC"/>
    <w:rsid w:val="005D025A"/>
    <w:rsid w:val="005D08F6"/>
    <w:rsid w:val="005D1109"/>
    <w:rsid w:val="005D1F30"/>
    <w:rsid w:val="005D22BF"/>
    <w:rsid w:val="005D25F8"/>
    <w:rsid w:val="005D29CD"/>
    <w:rsid w:val="005D29F1"/>
    <w:rsid w:val="005D3A6D"/>
    <w:rsid w:val="005D4D9B"/>
    <w:rsid w:val="005D64B8"/>
    <w:rsid w:val="005D678B"/>
    <w:rsid w:val="005D68CA"/>
    <w:rsid w:val="005D6D40"/>
    <w:rsid w:val="005D6E73"/>
    <w:rsid w:val="005D7255"/>
    <w:rsid w:val="005D725F"/>
    <w:rsid w:val="005E118C"/>
    <w:rsid w:val="005E15A6"/>
    <w:rsid w:val="005E1849"/>
    <w:rsid w:val="005E3041"/>
    <w:rsid w:val="005E330A"/>
    <w:rsid w:val="005E34EA"/>
    <w:rsid w:val="005E357A"/>
    <w:rsid w:val="005E3E7A"/>
    <w:rsid w:val="005E4C65"/>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6F4C"/>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3524"/>
    <w:rsid w:val="00613790"/>
    <w:rsid w:val="00613B44"/>
    <w:rsid w:val="00613FE3"/>
    <w:rsid w:val="0061497F"/>
    <w:rsid w:val="00614BEC"/>
    <w:rsid w:val="00614D42"/>
    <w:rsid w:val="00614F37"/>
    <w:rsid w:val="00614F43"/>
    <w:rsid w:val="00615C37"/>
    <w:rsid w:val="00616140"/>
    <w:rsid w:val="0061619E"/>
    <w:rsid w:val="00616F9B"/>
    <w:rsid w:val="00617011"/>
    <w:rsid w:val="00617338"/>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ECA"/>
    <w:rsid w:val="006343AD"/>
    <w:rsid w:val="006345AC"/>
    <w:rsid w:val="00634679"/>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1CC"/>
    <w:rsid w:val="00654A43"/>
    <w:rsid w:val="00654E72"/>
    <w:rsid w:val="0065558A"/>
    <w:rsid w:val="00655CF3"/>
    <w:rsid w:val="006567A5"/>
    <w:rsid w:val="00656C19"/>
    <w:rsid w:val="00656C77"/>
    <w:rsid w:val="006578D2"/>
    <w:rsid w:val="0065794D"/>
    <w:rsid w:val="00657951"/>
    <w:rsid w:val="0065796F"/>
    <w:rsid w:val="00657A49"/>
    <w:rsid w:val="00660113"/>
    <w:rsid w:val="006605F5"/>
    <w:rsid w:val="00660621"/>
    <w:rsid w:val="00661063"/>
    <w:rsid w:val="006615DD"/>
    <w:rsid w:val="006618CA"/>
    <w:rsid w:val="00661B1A"/>
    <w:rsid w:val="0066214D"/>
    <w:rsid w:val="00662418"/>
    <w:rsid w:val="006631CA"/>
    <w:rsid w:val="00663349"/>
    <w:rsid w:val="00663D2E"/>
    <w:rsid w:val="00664196"/>
    <w:rsid w:val="00664B1D"/>
    <w:rsid w:val="00664E32"/>
    <w:rsid w:val="00664EA5"/>
    <w:rsid w:val="00664FF2"/>
    <w:rsid w:val="00665AD7"/>
    <w:rsid w:val="00665CB7"/>
    <w:rsid w:val="006667EA"/>
    <w:rsid w:val="006669F9"/>
    <w:rsid w:val="00666B51"/>
    <w:rsid w:val="00666E51"/>
    <w:rsid w:val="0066751E"/>
    <w:rsid w:val="00667787"/>
    <w:rsid w:val="0066778E"/>
    <w:rsid w:val="006678C9"/>
    <w:rsid w:val="00667BB6"/>
    <w:rsid w:val="00670099"/>
    <w:rsid w:val="006707EC"/>
    <w:rsid w:val="006709EF"/>
    <w:rsid w:val="0067140D"/>
    <w:rsid w:val="00671873"/>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0D1D"/>
    <w:rsid w:val="006811EF"/>
    <w:rsid w:val="00681344"/>
    <w:rsid w:val="0068161C"/>
    <w:rsid w:val="00681C1E"/>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6004"/>
    <w:rsid w:val="00696659"/>
    <w:rsid w:val="006968F8"/>
    <w:rsid w:val="00696AC9"/>
    <w:rsid w:val="00697089"/>
    <w:rsid w:val="0069762B"/>
    <w:rsid w:val="006976F6"/>
    <w:rsid w:val="00697EA7"/>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0BC9"/>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3333"/>
    <w:rsid w:val="007037EE"/>
    <w:rsid w:val="00703D71"/>
    <w:rsid w:val="00704BC9"/>
    <w:rsid w:val="007056EC"/>
    <w:rsid w:val="0070580F"/>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D21"/>
    <w:rsid w:val="00734135"/>
    <w:rsid w:val="00734B4A"/>
    <w:rsid w:val="007350C0"/>
    <w:rsid w:val="007353EB"/>
    <w:rsid w:val="007355B8"/>
    <w:rsid w:val="007356B4"/>
    <w:rsid w:val="00735B3E"/>
    <w:rsid w:val="00736588"/>
    <w:rsid w:val="007378A4"/>
    <w:rsid w:val="00740315"/>
    <w:rsid w:val="00740457"/>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34C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3A7D"/>
    <w:rsid w:val="00783A99"/>
    <w:rsid w:val="007841CA"/>
    <w:rsid w:val="00784957"/>
    <w:rsid w:val="00785168"/>
    <w:rsid w:val="007852E6"/>
    <w:rsid w:val="00785A03"/>
    <w:rsid w:val="00786178"/>
    <w:rsid w:val="00786516"/>
    <w:rsid w:val="00786927"/>
    <w:rsid w:val="00786BAD"/>
    <w:rsid w:val="00787CB7"/>
    <w:rsid w:val="00787EB7"/>
    <w:rsid w:val="0079040C"/>
    <w:rsid w:val="00790925"/>
    <w:rsid w:val="007918CB"/>
    <w:rsid w:val="00791DE6"/>
    <w:rsid w:val="00792B47"/>
    <w:rsid w:val="00792C01"/>
    <w:rsid w:val="00792D3B"/>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1621"/>
    <w:rsid w:val="007C168B"/>
    <w:rsid w:val="007C16F4"/>
    <w:rsid w:val="007C1A39"/>
    <w:rsid w:val="007C20FE"/>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511D"/>
    <w:rsid w:val="007F5B03"/>
    <w:rsid w:val="007F5E83"/>
    <w:rsid w:val="007F615B"/>
    <w:rsid w:val="007F6DF4"/>
    <w:rsid w:val="007F6DF5"/>
    <w:rsid w:val="0080034D"/>
    <w:rsid w:val="008005FC"/>
    <w:rsid w:val="008023E3"/>
    <w:rsid w:val="00802449"/>
    <w:rsid w:val="0080306A"/>
    <w:rsid w:val="00803205"/>
    <w:rsid w:val="0080343B"/>
    <w:rsid w:val="00803718"/>
    <w:rsid w:val="008039F6"/>
    <w:rsid w:val="00803A3E"/>
    <w:rsid w:val="00803CF2"/>
    <w:rsid w:val="00803D06"/>
    <w:rsid w:val="0080598C"/>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4052"/>
    <w:rsid w:val="0081437E"/>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43"/>
    <w:rsid w:val="008334DE"/>
    <w:rsid w:val="008349D4"/>
    <w:rsid w:val="00835032"/>
    <w:rsid w:val="008356C5"/>
    <w:rsid w:val="00835748"/>
    <w:rsid w:val="00835757"/>
    <w:rsid w:val="00835C41"/>
    <w:rsid w:val="00836055"/>
    <w:rsid w:val="008363E6"/>
    <w:rsid w:val="00836AED"/>
    <w:rsid w:val="00836C3F"/>
    <w:rsid w:val="00836F25"/>
    <w:rsid w:val="00837D97"/>
    <w:rsid w:val="0084012C"/>
    <w:rsid w:val="0084029E"/>
    <w:rsid w:val="0084079D"/>
    <w:rsid w:val="008414E6"/>
    <w:rsid w:val="00842316"/>
    <w:rsid w:val="0084234A"/>
    <w:rsid w:val="00842355"/>
    <w:rsid w:val="008425A9"/>
    <w:rsid w:val="008426B4"/>
    <w:rsid w:val="00843317"/>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232B"/>
    <w:rsid w:val="0085243F"/>
    <w:rsid w:val="00852C65"/>
    <w:rsid w:val="00852F76"/>
    <w:rsid w:val="008533FC"/>
    <w:rsid w:val="008536F2"/>
    <w:rsid w:val="008543F5"/>
    <w:rsid w:val="00854AC9"/>
    <w:rsid w:val="00854C91"/>
    <w:rsid w:val="00854CE5"/>
    <w:rsid w:val="00855061"/>
    <w:rsid w:val="00855504"/>
    <w:rsid w:val="00855EF0"/>
    <w:rsid w:val="00857625"/>
    <w:rsid w:val="00857EE5"/>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B39"/>
    <w:rsid w:val="00881DD2"/>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465"/>
    <w:rsid w:val="00895C12"/>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A6E"/>
    <w:rsid w:val="008B4AEB"/>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F48"/>
    <w:rsid w:val="008E15DA"/>
    <w:rsid w:val="008E23C1"/>
    <w:rsid w:val="008E249A"/>
    <w:rsid w:val="008E2DE3"/>
    <w:rsid w:val="008E2DEB"/>
    <w:rsid w:val="008E38D6"/>
    <w:rsid w:val="008E3E5D"/>
    <w:rsid w:val="008E422D"/>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EA4"/>
    <w:rsid w:val="00912273"/>
    <w:rsid w:val="00912311"/>
    <w:rsid w:val="009124BD"/>
    <w:rsid w:val="009124DB"/>
    <w:rsid w:val="00912705"/>
    <w:rsid w:val="00912CDF"/>
    <w:rsid w:val="0091403F"/>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4187"/>
    <w:rsid w:val="009452D9"/>
    <w:rsid w:val="0094555A"/>
    <w:rsid w:val="009457B4"/>
    <w:rsid w:val="00947C86"/>
    <w:rsid w:val="00947E40"/>
    <w:rsid w:val="00950167"/>
    <w:rsid w:val="00950186"/>
    <w:rsid w:val="00950D29"/>
    <w:rsid w:val="0095110E"/>
    <w:rsid w:val="00951218"/>
    <w:rsid w:val="00952ABD"/>
    <w:rsid w:val="00952E64"/>
    <w:rsid w:val="00953095"/>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279"/>
    <w:rsid w:val="009822F5"/>
    <w:rsid w:val="0098231E"/>
    <w:rsid w:val="00982826"/>
    <w:rsid w:val="00983053"/>
    <w:rsid w:val="009831F2"/>
    <w:rsid w:val="009832D7"/>
    <w:rsid w:val="00984821"/>
    <w:rsid w:val="00984FDD"/>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56B"/>
    <w:rsid w:val="009C562F"/>
    <w:rsid w:val="009C567F"/>
    <w:rsid w:val="009C6218"/>
    <w:rsid w:val="009C649C"/>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1AB"/>
    <w:rsid w:val="009E686A"/>
    <w:rsid w:val="009E695A"/>
    <w:rsid w:val="009E6B63"/>
    <w:rsid w:val="009E7B0E"/>
    <w:rsid w:val="009E7C68"/>
    <w:rsid w:val="009F02D6"/>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BF"/>
    <w:rsid w:val="00A27A3E"/>
    <w:rsid w:val="00A3019C"/>
    <w:rsid w:val="00A308BC"/>
    <w:rsid w:val="00A32005"/>
    <w:rsid w:val="00A3253D"/>
    <w:rsid w:val="00A32898"/>
    <w:rsid w:val="00A33067"/>
    <w:rsid w:val="00A33523"/>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C1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E34"/>
    <w:rsid w:val="00AA21C0"/>
    <w:rsid w:val="00AA25C5"/>
    <w:rsid w:val="00AA274F"/>
    <w:rsid w:val="00AA29C0"/>
    <w:rsid w:val="00AA2A51"/>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60A"/>
    <w:rsid w:val="00AB49AE"/>
    <w:rsid w:val="00AB4A3B"/>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2C3"/>
    <w:rsid w:val="00AE7C21"/>
    <w:rsid w:val="00AE7D6A"/>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507BC"/>
    <w:rsid w:val="00B50FD8"/>
    <w:rsid w:val="00B51252"/>
    <w:rsid w:val="00B51585"/>
    <w:rsid w:val="00B5181F"/>
    <w:rsid w:val="00B51D96"/>
    <w:rsid w:val="00B5218C"/>
    <w:rsid w:val="00B529C6"/>
    <w:rsid w:val="00B52AFE"/>
    <w:rsid w:val="00B52B73"/>
    <w:rsid w:val="00B52F58"/>
    <w:rsid w:val="00B5371F"/>
    <w:rsid w:val="00B540A7"/>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467"/>
    <w:rsid w:val="00B67C63"/>
    <w:rsid w:val="00B701A3"/>
    <w:rsid w:val="00B702C9"/>
    <w:rsid w:val="00B7031B"/>
    <w:rsid w:val="00B70CEB"/>
    <w:rsid w:val="00B70DB1"/>
    <w:rsid w:val="00B70DFD"/>
    <w:rsid w:val="00B717C3"/>
    <w:rsid w:val="00B71C14"/>
    <w:rsid w:val="00B7205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B5E"/>
    <w:rsid w:val="00BA2E49"/>
    <w:rsid w:val="00BA3243"/>
    <w:rsid w:val="00BA348D"/>
    <w:rsid w:val="00BA3874"/>
    <w:rsid w:val="00BA426A"/>
    <w:rsid w:val="00BA4544"/>
    <w:rsid w:val="00BA48AA"/>
    <w:rsid w:val="00BA4DF4"/>
    <w:rsid w:val="00BA51A3"/>
    <w:rsid w:val="00BA55E8"/>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20B9"/>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6B0"/>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C19"/>
    <w:rsid w:val="00C33E80"/>
    <w:rsid w:val="00C3439D"/>
    <w:rsid w:val="00C34E44"/>
    <w:rsid w:val="00C34EBA"/>
    <w:rsid w:val="00C3532D"/>
    <w:rsid w:val="00C3577D"/>
    <w:rsid w:val="00C35D1A"/>
    <w:rsid w:val="00C36879"/>
    <w:rsid w:val="00C37283"/>
    <w:rsid w:val="00C37E5E"/>
    <w:rsid w:val="00C41079"/>
    <w:rsid w:val="00C415F9"/>
    <w:rsid w:val="00C41AE9"/>
    <w:rsid w:val="00C4240D"/>
    <w:rsid w:val="00C425E4"/>
    <w:rsid w:val="00C43049"/>
    <w:rsid w:val="00C43ACF"/>
    <w:rsid w:val="00C43B39"/>
    <w:rsid w:val="00C44051"/>
    <w:rsid w:val="00C44766"/>
    <w:rsid w:val="00C44A78"/>
    <w:rsid w:val="00C44CAB"/>
    <w:rsid w:val="00C4523B"/>
    <w:rsid w:val="00C452F2"/>
    <w:rsid w:val="00C45B2D"/>
    <w:rsid w:val="00C461EE"/>
    <w:rsid w:val="00C46952"/>
    <w:rsid w:val="00C46A7E"/>
    <w:rsid w:val="00C46E62"/>
    <w:rsid w:val="00C50571"/>
    <w:rsid w:val="00C505A7"/>
    <w:rsid w:val="00C50763"/>
    <w:rsid w:val="00C50873"/>
    <w:rsid w:val="00C50D6B"/>
    <w:rsid w:val="00C50D90"/>
    <w:rsid w:val="00C51641"/>
    <w:rsid w:val="00C517DA"/>
    <w:rsid w:val="00C51FC3"/>
    <w:rsid w:val="00C530AE"/>
    <w:rsid w:val="00C53845"/>
    <w:rsid w:val="00C53A7F"/>
    <w:rsid w:val="00C53CA0"/>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F7B"/>
    <w:rsid w:val="00C73FDC"/>
    <w:rsid w:val="00C74046"/>
    <w:rsid w:val="00C744DA"/>
    <w:rsid w:val="00C75153"/>
    <w:rsid w:val="00C75316"/>
    <w:rsid w:val="00C7577F"/>
    <w:rsid w:val="00C762B3"/>
    <w:rsid w:val="00C76FA9"/>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2476"/>
    <w:rsid w:val="00CA2803"/>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471"/>
    <w:rsid w:val="00CB6627"/>
    <w:rsid w:val="00CB6E02"/>
    <w:rsid w:val="00CB7330"/>
    <w:rsid w:val="00CB748D"/>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3D89"/>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DAE"/>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63F3"/>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1D54"/>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6EB0"/>
    <w:rsid w:val="00D478F6"/>
    <w:rsid w:val="00D47EE9"/>
    <w:rsid w:val="00D5035F"/>
    <w:rsid w:val="00D50553"/>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4CAD"/>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7A98"/>
    <w:rsid w:val="00D87C52"/>
    <w:rsid w:val="00D9075C"/>
    <w:rsid w:val="00D90D3F"/>
    <w:rsid w:val="00D90D53"/>
    <w:rsid w:val="00D91338"/>
    <w:rsid w:val="00D925FF"/>
    <w:rsid w:val="00D930E4"/>
    <w:rsid w:val="00D935D2"/>
    <w:rsid w:val="00D93830"/>
    <w:rsid w:val="00D93CC2"/>
    <w:rsid w:val="00D93F17"/>
    <w:rsid w:val="00D944F9"/>
    <w:rsid w:val="00D94502"/>
    <w:rsid w:val="00D949A6"/>
    <w:rsid w:val="00D94B28"/>
    <w:rsid w:val="00D94E64"/>
    <w:rsid w:val="00D9595E"/>
    <w:rsid w:val="00D963C4"/>
    <w:rsid w:val="00D9659E"/>
    <w:rsid w:val="00D96FC1"/>
    <w:rsid w:val="00D9789A"/>
    <w:rsid w:val="00D97D27"/>
    <w:rsid w:val="00D97D49"/>
    <w:rsid w:val="00DA0197"/>
    <w:rsid w:val="00DA0572"/>
    <w:rsid w:val="00DA089E"/>
    <w:rsid w:val="00DA126E"/>
    <w:rsid w:val="00DA13F6"/>
    <w:rsid w:val="00DA14D7"/>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345"/>
    <w:rsid w:val="00E058B2"/>
    <w:rsid w:val="00E059C9"/>
    <w:rsid w:val="00E05A57"/>
    <w:rsid w:val="00E060DD"/>
    <w:rsid w:val="00E064A9"/>
    <w:rsid w:val="00E064BB"/>
    <w:rsid w:val="00E0698E"/>
    <w:rsid w:val="00E06F41"/>
    <w:rsid w:val="00E06FED"/>
    <w:rsid w:val="00E072AB"/>
    <w:rsid w:val="00E07C16"/>
    <w:rsid w:val="00E07C3F"/>
    <w:rsid w:val="00E10739"/>
    <w:rsid w:val="00E1169B"/>
    <w:rsid w:val="00E12378"/>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31B7"/>
    <w:rsid w:val="00EC32EE"/>
    <w:rsid w:val="00EC3C15"/>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78A"/>
    <w:rsid w:val="00EE03BB"/>
    <w:rsid w:val="00EE07F2"/>
    <w:rsid w:val="00EE0942"/>
    <w:rsid w:val="00EE0AD4"/>
    <w:rsid w:val="00EE0ED8"/>
    <w:rsid w:val="00EE10A6"/>
    <w:rsid w:val="00EE1A82"/>
    <w:rsid w:val="00EE1F24"/>
    <w:rsid w:val="00EE268E"/>
    <w:rsid w:val="00EE2B44"/>
    <w:rsid w:val="00EE32A9"/>
    <w:rsid w:val="00EE3318"/>
    <w:rsid w:val="00EE34AA"/>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389"/>
    <w:rsid w:val="00EF380C"/>
    <w:rsid w:val="00EF3F7F"/>
    <w:rsid w:val="00EF44E9"/>
    <w:rsid w:val="00EF44FE"/>
    <w:rsid w:val="00EF58B3"/>
    <w:rsid w:val="00EF60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693"/>
    <w:rsid w:val="00F047FD"/>
    <w:rsid w:val="00F052AF"/>
    <w:rsid w:val="00F058DD"/>
    <w:rsid w:val="00F05AD2"/>
    <w:rsid w:val="00F06331"/>
    <w:rsid w:val="00F06383"/>
    <w:rsid w:val="00F06649"/>
    <w:rsid w:val="00F06F82"/>
    <w:rsid w:val="00F0735A"/>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B4A"/>
    <w:rsid w:val="00F16D3A"/>
    <w:rsid w:val="00F16DED"/>
    <w:rsid w:val="00F16EAF"/>
    <w:rsid w:val="00F17144"/>
    <w:rsid w:val="00F173DF"/>
    <w:rsid w:val="00F2009E"/>
    <w:rsid w:val="00F2029D"/>
    <w:rsid w:val="00F209A8"/>
    <w:rsid w:val="00F20BA7"/>
    <w:rsid w:val="00F20FDB"/>
    <w:rsid w:val="00F217F3"/>
    <w:rsid w:val="00F219E3"/>
    <w:rsid w:val="00F22035"/>
    <w:rsid w:val="00F2224A"/>
    <w:rsid w:val="00F237A1"/>
    <w:rsid w:val="00F23863"/>
    <w:rsid w:val="00F23CA7"/>
    <w:rsid w:val="00F241D9"/>
    <w:rsid w:val="00F2560A"/>
    <w:rsid w:val="00F2605F"/>
    <w:rsid w:val="00F26065"/>
    <w:rsid w:val="00F26174"/>
    <w:rsid w:val="00F261FD"/>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908AC"/>
    <w:rsid w:val="00F909DA"/>
    <w:rsid w:val="00F910E3"/>
    <w:rsid w:val="00F91327"/>
    <w:rsid w:val="00F9153E"/>
    <w:rsid w:val="00F92340"/>
    <w:rsid w:val="00F9245A"/>
    <w:rsid w:val="00F93BE5"/>
    <w:rsid w:val="00F94573"/>
    <w:rsid w:val="00F9515F"/>
    <w:rsid w:val="00F95438"/>
    <w:rsid w:val="00F9615D"/>
    <w:rsid w:val="00F963C7"/>
    <w:rsid w:val="00F96D8C"/>
    <w:rsid w:val="00F96DB0"/>
    <w:rsid w:val="00F96DFE"/>
    <w:rsid w:val="00F97441"/>
    <w:rsid w:val="00F97675"/>
    <w:rsid w:val="00FA0513"/>
    <w:rsid w:val="00FA08B7"/>
    <w:rsid w:val="00FA0CED"/>
    <w:rsid w:val="00FA1443"/>
    <w:rsid w:val="00FA1821"/>
    <w:rsid w:val="00FA1DEE"/>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C4A"/>
    <w:rsid w:val="00FD1F19"/>
    <w:rsid w:val="00FD1F52"/>
    <w:rsid w:val="00FD2132"/>
    <w:rsid w:val="00FD225B"/>
    <w:rsid w:val="00FD326C"/>
    <w:rsid w:val="00FD33F2"/>
    <w:rsid w:val="00FD45CE"/>
    <w:rsid w:val="00FD461A"/>
    <w:rsid w:val="00FD4A91"/>
    <w:rsid w:val="00FD4CBB"/>
    <w:rsid w:val="00FD5317"/>
    <w:rsid w:val="00FD5788"/>
    <w:rsid w:val="00FD5BFE"/>
    <w:rsid w:val="00FD64ED"/>
    <w:rsid w:val="00FD65AE"/>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41"/>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2364</TotalTime>
  <Pages>6</Pages>
  <Words>2288</Words>
  <Characters>13046</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147</cp:revision>
  <cp:lastPrinted>2013-10-30T13:46:00Z</cp:lastPrinted>
  <dcterms:created xsi:type="dcterms:W3CDTF">2024-11-08T02:42:00Z</dcterms:created>
  <dcterms:modified xsi:type="dcterms:W3CDTF">2025-05-09T05:21:00Z</dcterms:modified>
</cp:coreProperties>
</file>